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BD0D" w14:textId="5712B6F5" w:rsidR="00915281" w:rsidRDefault="00BA653F" w:rsidP="00DF174E">
      <w:pPr>
        <w:jc w:val="center"/>
        <w:rPr>
          <w:rFonts w:ascii="Arial" w:hAnsi="Arial" w:cs="Arial"/>
          <w:b/>
          <w:bCs/>
          <w:sz w:val="28"/>
          <w:szCs w:val="28"/>
        </w:rPr>
      </w:pPr>
      <w:r w:rsidRPr="00A87043">
        <w:rPr>
          <w:rFonts w:ascii="Arial" w:hAnsi="Arial" w:cs="Arial"/>
          <w:b/>
          <w:bCs/>
          <w:sz w:val="28"/>
          <w:szCs w:val="28"/>
        </w:rPr>
        <w:t>P</w:t>
      </w:r>
      <w:r w:rsidR="00603FF0" w:rsidRPr="00A87043">
        <w:rPr>
          <w:rFonts w:ascii="Arial" w:hAnsi="Arial" w:cs="Arial"/>
          <w:b/>
          <w:bCs/>
          <w:sz w:val="28"/>
          <w:szCs w:val="28"/>
        </w:rPr>
        <w:t>arenting Capacity Assessments</w:t>
      </w:r>
      <w:r w:rsidR="00657E05" w:rsidRPr="00A87043">
        <w:rPr>
          <w:rFonts w:ascii="Arial" w:hAnsi="Arial" w:cs="Arial"/>
          <w:b/>
          <w:bCs/>
          <w:sz w:val="28"/>
          <w:szCs w:val="28"/>
        </w:rPr>
        <w:t xml:space="preserve">: </w:t>
      </w:r>
      <w:r w:rsidR="00603FF0" w:rsidRPr="00A87043">
        <w:rPr>
          <w:rFonts w:ascii="Arial" w:hAnsi="Arial" w:cs="Arial"/>
          <w:b/>
          <w:bCs/>
          <w:sz w:val="28"/>
          <w:szCs w:val="28"/>
        </w:rPr>
        <w:t xml:space="preserve">Balancing the Benefits </w:t>
      </w:r>
      <w:r w:rsidR="00A87043" w:rsidRPr="00A87043">
        <w:rPr>
          <w:rFonts w:ascii="Arial" w:hAnsi="Arial" w:cs="Arial"/>
          <w:b/>
          <w:bCs/>
          <w:sz w:val="28"/>
          <w:szCs w:val="28"/>
        </w:rPr>
        <w:t>against the Costs within the Current Legal Framework</w:t>
      </w:r>
    </w:p>
    <w:p w14:paraId="0401A88E" w14:textId="51F41C6F" w:rsidR="00A87043" w:rsidRPr="00833B87" w:rsidRDefault="00A87043" w:rsidP="00DF174E">
      <w:pPr>
        <w:jc w:val="center"/>
        <w:rPr>
          <w:rFonts w:ascii="Arial" w:hAnsi="Arial" w:cs="Arial"/>
          <w:sz w:val="28"/>
          <w:szCs w:val="28"/>
        </w:rPr>
      </w:pPr>
      <w:r w:rsidRPr="00833B87">
        <w:rPr>
          <w:rFonts w:ascii="Arial" w:hAnsi="Arial" w:cs="Arial"/>
          <w:sz w:val="28"/>
          <w:szCs w:val="28"/>
        </w:rPr>
        <w:t>Lisa C. Hayes, L</w:t>
      </w:r>
      <w:r w:rsidR="00690753" w:rsidRPr="00833B87">
        <w:rPr>
          <w:rFonts w:ascii="Arial" w:hAnsi="Arial" w:cs="Arial"/>
          <w:sz w:val="28"/>
          <w:szCs w:val="28"/>
        </w:rPr>
        <w:t>L.B.</w:t>
      </w:r>
    </w:p>
    <w:p w14:paraId="2FFFCC16" w14:textId="77777777" w:rsidR="00915281" w:rsidRDefault="00915281">
      <w:pPr>
        <w:rPr>
          <w:rFonts w:ascii="Arial" w:hAnsi="Arial" w:cs="Arial"/>
          <w:sz w:val="24"/>
          <w:szCs w:val="24"/>
        </w:rPr>
      </w:pPr>
    </w:p>
    <w:p w14:paraId="47758D9A" w14:textId="6E499CCD" w:rsidR="005A40A7" w:rsidRDefault="00490B12">
      <w:pPr>
        <w:rPr>
          <w:rFonts w:ascii="Arial" w:hAnsi="Arial" w:cs="Arial"/>
          <w:sz w:val="24"/>
          <w:szCs w:val="24"/>
        </w:rPr>
      </w:pPr>
      <w:r>
        <w:rPr>
          <w:rFonts w:ascii="Arial" w:hAnsi="Arial" w:cs="Arial"/>
          <w:sz w:val="24"/>
          <w:szCs w:val="24"/>
        </w:rPr>
        <w:t>A</w:t>
      </w:r>
      <w:r w:rsidR="00C45E20">
        <w:rPr>
          <w:rFonts w:ascii="Arial" w:hAnsi="Arial" w:cs="Arial"/>
          <w:sz w:val="24"/>
          <w:szCs w:val="24"/>
        </w:rPr>
        <w:t xml:space="preserve"> parent’s capacity to parent </w:t>
      </w:r>
      <w:r w:rsidR="009E0B31">
        <w:rPr>
          <w:rFonts w:ascii="Arial" w:hAnsi="Arial" w:cs="Arial"/>
          <w:sz w:val="24"/>
          <w:szCs w:val="24"/>
        </w:rPr>
        <w:t xml:space="preserve">a particular child </w:t>
      </w:r>
      <w:r w:rsidR="00C45E20">
        <w:rPr>
          <w:rFonts w:ascii="Arial" w:hAnsi="Arial" w:cs="Arial"/>
          <w:sz w:val="24"/>
          <w:szCs w:val="24"/>
        </w:rPr>
        <w:t xml:space="preserve">is </w:t>
      </w:r>
      <w:r w:rsidR="0075219E">
        <w:rPr>
          <w:rFonts w:ascii="Arial" w:hAnsi="Arial" w:cs="Arial"/>
          <w:sz w:val="24"/>
          <w:szCs w:val="24"/>
        </w:rPr>
        <w:t xml:space="preserve">the central issue </w:t>
      </w:r>
      <w:r w:rsidR="00D73310">
        <w:rPr>
          <w:rFonts w:ascii="Arial" w:hAnsi="Arial" w:cs="Arial"/>
          <w:sz w:val="24"/>
          <w:szCs w:val="24"/>
        </w:rPr>
        <w:t xml:space="preserve">in most </w:t>
      </w:r>
      <w:r w:rsidR="00C45E20">
        <w:rPr>
          <w:rFonts w:ascii="Arial" w:hAnsi="Arial" w:cs="Arial"/>
          <w:sz w:val="24"/>
          <w:szCs w:val="24"/>
        </w:rPr>
        <w:t>child protection cases before the court.  This task requires an analysis of the complex interplay between parent, child</w:t>
      </w:r>
      <w:r w:rsidR="000D3AE9">
        <w:rPr>
          <w:rFonts w:ascii="Arial" w:hAnsi="Arial" w:cs="Arial"/>
          <w:sz w:val="24"/>
          <w:szCs w:val="24"/>
        </w:rPr>
        <w:t>,</w:t>
      </w:r>
      <w:r w:rsidR="00C45E20">
        <w:rPr>
          <w:rFonts w:ascii="Arial" w:hAnsi="Arial" w:cs="Arial"/>
          <w:sz w:val="24"/>
          <w:szCs w:val="24"/>
        </w:rPr>
        <w:t xml:space="preserve"> environmental and cultural factors.</w:t>
      </w:r>
      <w:r w:rsidR="00151761">
        <w:rPr>
          <w:rFonts w:ascii="Arial" w:hAnsi="Arial" w:cs="Arial"/>
          <w:sz w:val="24"/>
          <w:szCs w:val="24"/>
        </w:rPr>
        <w:t xml:space="preserve">  Cases where a child protection agency is seeking an order to terminate parental rights </w:t>
      </w:r>
      <w:r w:rsidR="004520D6">
        <w:rPr>
          <w:rFonts w:ascii="Arial" w:hAnsi="Arial" w:cs="Arial"/>
          <w:sz w:val="24"/>
          <w:szCs w:val="24"/>
        </w:rPr>
        <w:t xml:space="preserve">are the most difficult cases for courts to decide.  </w:t>
      </w:r>
      <w:r w:rsidR="005A40A7">
        <w:rPr>
          <w:rFonts w:ascii="Arial" w:hAnsi="Arial" w:cs="Arial"/>
          <w:sz w:val="24"/>
          <w:szCs w:val="24"/>
        </w:rPr>
        <w:t>These cases engage the Charter rights of the parents</w:t>
      </w:r>
      <w:r w:rsidR="002A6E23">
        <w:rPr>
          <w:rFonts w:ascii="Arial" w:hAnsi="Arial" w:cs="Arial"/>
          <w:sz w:val="24"/>
          <w:szCs w:val="24"/>
        </w:rPr>
        <w:t xml:space="preserve"> </w:t>
      </w:r>
      <w:r w:rsidR="008A1C58">
        <w:rPr>
          <w:rFonts w:ascii="Arial" w:hAnsi="Arial" w:cs="Arial"/>
          <w:sz w:val="24"/>
          <w:szCs w:val="24"/>
        </w:rPr>
        <w:t xml:space="preserve">and require courts to ensure that </w:t>
      </w:r>
      <w:r w:rsidR="00943590">
        <w:rPr>
          <w:rFonts w:ascii="Arial" w:hAnsi="Arial" w:cs="Arial"/>
          <w:sz w:val="24"/>
          <w:szCs w:val="24"/>
        </w:rPr>
        <w:t>decision making is based on a process that is scrupulously fair to the parents</w:t>
      </w:r>
      <w:r w:rsidR="00CC5128">
        <w:rPr>
          <w:rFonts w:ascii="Arial" w:hAnsi="Arial" w:cs="Arial"/>
          <w:sz w:val="24"/>
          <w:szCs w:val="24"/>
        </w:rPr>
        <w:t xml:space="preserve">.  </w:t>
      </w:r>
      <w:r w:rsidR="00943590">
        <w:rPr>
          <w:rFonts w:ascii="Arial" w:hAnsi="Arial" w:cs="Arial"/>
          <w:sz w:val="24"/>
          <w:szCs w:val="24"/>
        </w:rPr>
        <w:t>At the same time, t</w:t>
      </w:r>
      <w:r w:rsidR="005A40A7">
        <w:rPr>
          <w:rFonts w:ascii="Arial" w:hAnsi="Arial" w:cs="Arial"/>
          <w:sz w:val="24"/>
          <w:szCs w:val="24"/>
        </w:rPr>
        <w:t xml:space="preserve">he children in these cases have a fundamental right to feel safe and secure and to </w:t>
      </w:r>
      <w:r w:rsidR="002A6E23">
        <w:rPr>
          <w:rFonts w:ascii="Arial" w:hAnsi="Arial" w:cs="Arial"/>
          <w:sz w:val="24"/>
          <w:szCs w:val="24"/>
        </w:rPr>
        <w:t xml:space="preserve">be cared for </w:t>
      </w:r>
      <w:r w:rsidR="00943590">
        <w:rPr>
          <w:rFonts w:ascii="Arial" w:hAnsi="Arial" w:cs="Arial"/>
          <w:sz w:val="24"/>
          <w:szCs w:val="24"/>
        </w:rPr>
        <w:t xml:space="preserve">over the course of their childhoods </w:t>
      </w:r>
      <w:r w:rsidR="002A6E23">
        <w:rPr>
          <w:rFonts w:ascii="Arial" w:hAnsi="Arial" w:cs="Arial"/>
          <w:sz w:val="24"/>
          <w:szCs w:val="24"/>
        </w:rPr>
        <w:t xml:space="preserve">in a manner that is “good enough”.  </w:t>
      </w:r>
    </w:p>
    <w:p w14:paraId="408ED2B3" w14:textId="77777777" w:rsidR="00C32644" w:rsidRDefault="005A40A7">
      <w:pPr>
        <w:rPr>
          <w:rFonts w:ascii="Arial" w:hAnsi="Arial" w:cs="Arial"/>
          <w:sz w:val="24"/>
          <w:szCs w:val="24"/>
        </w:rPr>
      </w:pPr>
      <w:r>
        <w:rPr>
          <w:rFonts w:ascii="Arial" w:hAnsi="Arial" w:cs="Arial"/>
          <w:sz w:val="24"/>
          <w:szCs w:val="24"/>
        </w:rPr>
        <w:t xml:space="preserve">Given the degree to which decision making in the child protection field touches on issues related to child development, the level of the attachment between a parent and child and/or the mental health and general functional capacity of a parent, </w:t>
      </w:r>
      <w:r w:rsidR="002A6E23">
        <w:rPr>
          <w:rFonts w:ascii="Arial" w:hAnsi="Arial" w:cs="Arial"/>
          <w:sz w:val="24"/>
          <w:szCs w:val="24"/>
        </w:rPr>
        <w:t>c</w:t>
      </w:r>
      <w:r w:rsidR="004520D6">
        <w:rPr>
          <w:rFonts w:ascii="Arial" w:hAnsi="Arial" w:cs="Arial"/>
          <w:sz w:val="24"/>
          <w:szCs w:val="24"/>
        </w:rPr>
        <w:t xml:space="preserve">ourts </w:t>
      </w:r>
      <w:r w:rsidR="002A6E23">
        <w:rPr>
          <w:rFonts w:ascii="Arial" w:hAnsi="Arial" w:cs="Arial"/>
          <w:sz w:val="24"/>
          <w:szCs w:val="24"/>
        </w:rPr>
        <w:t xml:space="preserve">and child protection agencies </w:t>
      </w:r>
      <w:r w:rsidR="004520D6">
        <w:rPr>
          <w:rFonts w:ascii="Arial" w:hAnsi="Arial" w:cs="Arial"/>
          <w:sz w:val="24"/>
          <w:szCs w:val="24"/>
        </w:rPr>
        <w:t xml:space="preserve">in many jurisdictions have turned to </w:t>
      </w:r>
      <w:r>
        <w:rPr>
          <w:rFonts w:ascii="Arial" w:hAnsi="Arial" w:cs="Arial"/>
          <w:sz w:val="24"/>
          <w:szCs w:val="24"/>
        </w:rPr>
        <w:t>experts in the behavioural science</w:t>
      </w:r>
      <w:r w:rsidR="002A6E23">
        <w:rPr>
          <w:rFonts w:ascii="Arial" w:hAnsi="Arial" w:cs="Arial"/>
          <w:sz w:val="24"/>
          <w:szCs w:val="24"/>
        </w:rPr>
        <w:t>s</w:t>
      </w:r>
      <w:r>
        <w:rPr>
          <w:rFonts w:ascii="Arial" w:hAnsi="Arial" w:cs="Arial"/>
          <w:sz w:val="24"/>
          <w:szCs w:val="24"/>
        </w:rPr>
        <w:t xml:space="preserve"> to obtain opinion evidence</w:t>
      </w:r>
      <w:r w:rsidR="002A6E23">
        <w:rPr>
          <w:rFonts w:ascii="Arial" w:hAnsi="Arial" w:cs="Arial"/>
          <w:sz w:val="24"/>
          <w:szCs w:val="24"/>
        </w:rPr>
        <w:t xml:space="preserve"> to assist the court to make decisions in the best interests of</w:t>
      </w:r>
      <w:r w:rsidR="00C32644">
        <w:rPr>
          <w:rFonts w:ascii="Arial" w:hAnsi="Arial" w:cs="Arial"/>
          <w:sz w:val="24"/>
          <w:szCs w:val="24"/>
        </w:rPr>
        <w:t xml:space="preserve"> these</w:t>
      </w:r>
      <w:r w:rsidR="002A6E23">
        <w:rPr>
          <w:rFonts w:ascii="Arial" w:hAnsi="Arial" w:cs="Arial"/>
          <w:sz w:val="24"/>
          <w:szCs w:val="24"/>
        </w:rPr>
        <w:t xml:space="preserve"> children.</w:t>
      </w:r>
    </w:p>
    <w:p w14:paraId="382B8AF2" w14:textId="45A3047C" w:rsidR="008D28C7" w:rsidRDefault="007C19E2">
      <w:pPr>
        <w:rPr>
          <w:rFonts w:ascii="Arial" w:hAnsi="Arial" w:cs="Arial"/>
          <w:sz w:val="24"/>
          <w:szCs w:val="24"/>
        </w:rPr>
      </w:pPr>
      <w:r>
        <w:rPr>
          <w:rFonts w:ascii="Arial" w:hAnsi="Arial" w:cs="Arial"/>
          <w:sz w:val="24"/>
          <w:szCs w:val="24"/>
        </w:rPr>
        <w:t>A</w:t>
      </w:r>
      <w:r w:rsidR="0080121D">
        <w:rPr>
          <w:rFonts w:ascii="Arial" w:hAnsi="Arial" w:cs="Arial"/>
          <w:sz w:val="24"/>
          <w:szCs w:val="24"/>
        </w:rPr>
        <w:t xml:space="preserve"> </w:t>
      </w:r>
      <w:r>
        <w:rPr>
          <w:rFonts w:ascii="Arial" w:hAnsi="Arial" w:cs="Arial"/>
          <w:sz w:val="24"/>
          <w:szCs w:val="24"/>
        </w:rPr>
        <w:t>th</w:t>
      </w:r>
      <w:r w:rsidR="005F6806">
        <w:rPr>
          <w:rFonts w:ascii="Arial" w:hAnsi="Arial" w:cs="Arial"/>
          <w:sz w:val="24"/>
          <w:szCs w:val="24"/>
        </w:rPr>
        <w:t>o</w:t>
      </w:r>
      <w:r>
        <w:rPr>
          <w:rFonts w:ascii="Arial" w:hAnsi="Arial" w:cs="Arial"/>
          <w:sz w:val="24"/>
          <w:szCs w:val="24"/>
        </w:rPr>
        <w:t>rough</w:t>
      </w:r>
      <w:r w:rsidR="00C8717B">
        <w:rPr>
          <w:rFonts w:ascii="Arial" w:hAnsi="Arial" w:cs="Arial"/>
          <w:sz w:val="24"/>
          <w:szCs w:val="24"/>
        </w:rPr>
        <w:t xml:space="preserve">, </w:t>
      </w:r>
      <w:r w:rsidR="00AE2562">
        <w:rPr>
          <w:rFonts w:ascii="Arial" w:hAnsi="Arial" w:cs="Arial"/>
          <w:sz w:val="24"/>
          <w:szCs w:val="24"/>
        </w:rPr>
        <w:t xml:space="preserve">and methodologically sound </w:t>
      </w:r>
      <w:r w:rsidR="0080121D">
        <w:rPr>
          <w:rFonts w:ascii="Arial" w:hAnsi="Arial" w:cs="Arial"/>
          <w:sz w:val="24"/>
          <w:szCs w:val="24"/>
        </w:rPr>
        <w:t xml:space="preserve">parenting capacity assessment </w:t>
      </w:r>
      <w:r w:rsidR="00590264">
        <w:rPr>
          <w:rFonts w:ascii="Arial" w:hAnsi="Arial" w:cs="Arial"/>
          <w:sz w:val="24"/>
          <w:szCs w:val="24"/>
        </w:rPr>
        <w:t xml:space="preserve">by a properly qualified independent assessor </w:t>
      </w:r>
      <w:r w:rsidR="00317AE9">
        <w:rPr>
          <w:rFonts w:ascii="Arial" w:hAnsi="Arial" w:cs="Arial"/>
          <w:sz w:val="24"/>
          <w:szCs w:val="24"/>
        </w:rPr>
        <w:t xml:space="preserve">can </w:t>
      </w:r>
      <w:r w:rsidR="00AE2562">
        <w:rPr>
          <w:rFonts w:ascii="Arial" w:hAnsi="Arial" w:cs="Arial"/>
          <w:sz w:val="24"/>
          <w:szCs w:val="24"/>
        </w:rPr>
        <w:t>be useful to the court</w:t>
      </w:r>
      <w:r w:rsidR="004F10A3">
        <w:rPr>
          <w:rFonts w:ascii="Arial" w:hAnsi="Arial" w:cs="Arial"/>
          <w:sz w:val="24"/>
          <w:szCs w:val="24"/>
        </w:rPr>
        <w:t xml:space="preserve"> in many ways.  It can </w:t>
      </w:r>
      <w:r w:rsidR="00317AE9">
        <w:rPr>
          <w:rFonts w:ascii="Arial" w:hAnsi="Arial" w:cs="Arial"/>
          <w:sz w:val="24"/>
          <w:szCs w:val="24"/>
        </w:rPr>
        <w:t xml:space="preserve">provide </w:t>
      </w:r>
      <w:r w:rsidR="00317A72">
        <w:rPr>
          <w:rFonts w:ascii="Arial" w:hAnsi="Arial" w:cs="Arial"/>
          <w:sz w:val="24"/>
          <w:szCs w:val="24"/>
        </w:rPr>
        <w:t xml:space="preserve">a check and balance on the work of the protection agency.  </w:t>
      </w:r>
      <w:r w:rsidR="004F10A3">
        <w:rPr>
          <w:rFonts w:ascii="Arial" w:hAnsi="Arial" w:cs="Arial"/>
          <w:sz w:val="24"/>
          <w:szCs w:val="24"/>
        </w:rPr>
        <w:t xml:space="preserve">For example, </w:t>
      </w:r>
      <w:r w:rsidR="00BD4516">
        <w:rPr>
          <w:rFonts w:ascii="Arial" w:hAnsi="Arial" w:cs="Arial"/>
          <w:sz w:val="24"/>
          <w:szCs w:val="24"/>
        </w:rPr>
        <w:t>an asse</w:t>
      </w:r>
      <w:r w:rsidR="00C8717B">
        <w:rPr>
          <w:rFonts w:ascii="Arial" w:hAnsi="Arial" w:cs="Arial"/>
          <w:sz w:val="24"/>
          <w:szCs w:val="24"/>
        </w:rPr>
        <w:t>ssment</w:t>
      </w:r>
      <w:r w:rsidR="00317A72">
        <w:rPr>
          <w:rFonts w:ascii="Arial" w:hAnsi="Arial" w:cs="Arial"/>
          <w:sz w:val="24"/>
          <w:szCs w:val="24"/>
        </w:rPr>
        <w:t xml:space="preserve"> may</w:t>
      </w:r>
      <w:r w:rsidR="00B93251">
        <w:rPr>
          <w:rFonts w:ascii="Arial" w:hAnsi="Arial" w:cs="Arial"/>
          <w:sz w:val="24"/>
          <w:szCs w:val="24"/>
        </w:rPr>
        <w:t xml:space="preserve"> identify </w:t>
      </w:r>
      <w:r w:rsidR="00962733">
        <w:rPr>
          <w:rFonts w:ascii="Arial" w:hAnsi="Arial" w:cs="Arial"/>
          <w:sz w:val="24"/>
          <w:szCs w:val="24"/>
        </w:rPr>
        <w:t>a</w:t>
      </w:r>
      <w:r w:rsidR="00ED5FB6">
        <w:rPr>
          <w:rFonts w:ascii="Arial" w:hAnsi="Arial" w:cs="Arial"/>
          <w:sz w:val="24"/>
          <w:szCs w:val="24"/>
        </w:rPr>
        <w:t xml:space="preserve"> </w:t>
      </w:r>
      <w:r w:rsidR="008079B0">
        <w:rPr>
          <w:rFonts w:ascii="Arial" w:hAnsi="Arial" w:cs="Arial"/>
          <w:sz w:val="24"/>
          <w:szCs w:val="24"/>
        </w:rPr>
        <w:t xml:space="preserve">previously undiagnosed </w:t>
      </w:r>
      <w:r w:rsidR="00962733">
        <w:rPr>
          <w:rFonts w:ascii="Arial" w:hAnsi="Arial" w:cs="Arial"/>
          <w:sz w:val="24"/>
          <w:szCs w:val="24"/>
        </w:rPr>
        <w:t xml:space="preserve">learning disability that </w:t>
      </w:r>
      <w:r w:rsidR="00056AC5">
        <w:rPr>
          <w:rFonts w:ascii="Arial" w:hAnsi="Arial" w:cs="Arial"/>
          <w:sz w:val="24"/>
          <w:szCs w:val="24"/>
        </w:rPr>
        <w:t xml:space="preserve">may have </w:t>
      </w:r>
      <w:r w:rsidR="00962733">
        <w:rPr>
          <w:rFonts w:ascii="Arial" w:hAnsi="Arial" w:cs="Arial"/>
          <w:sz w:val="24"/>
          <w:szCs w:val="24"/>
        </w:rPr>
        <w:t xml:space="preserve">interfered with the </w:t>
      </w:r>
      <w:r w:rsidR="001629CD">
        <w:rPr>
          <w:rFonts w:ascii="Arial" w:hAnsi="Arial" w:cs="Arial"/>
          <w:sz w:val="24"/>
          <w:szCs w:val="24"/>
        </w:rPr>
        <w:t xml:space="preserve">ability of the parent to benefit from parenting programs and learn new parenting skills.  </w:t>
      </w:r>
      <w:r w:rsidR="004F10A3">
        <w:rPr>
          <w:rFonts w:ascii="Arial" w:hAnsi="Arial" w:cs="Arial"/>
          <w:sz w:val="24"/>
          <w:szCs w:val="24"/>
        </w:rPr>
        <w:t xml:space="preserve">It may also </w:t>
      </w:r>
      <w:r w:rsidR="002401EA">
        <w:rPr>
          <w:rFonts w:ascii="Arial" w:hAnsi="Arial" w:cs="Arial"/>
          <w:sz w:val="24"/>
          <w:szCs w:val="24"/>
        </w:rPr>
        <w:t xml:space="preserve">provide the court with </w:t>
      </w:r>
      <w:r w:rsidR="00B1646F">
        <w:rPr>
          <w:rFonts w:ascii="Arial" w:hAnsi="Arial" w:cs="Arial"/>
          <w:sz w:val="24"/>
          <w:szCs w:val="24"/>
        </w:rPr>
        <w:t xml:space="preserve">valuable </w:t>
      </w:r>
      <w:r w:rsidR="002401EA">
        <w:rPr>
          <w:rFonts w:ascii="Arial" w:hAnsi="Arial" w:cs="Arial"/>
          <w:sz w:val="24"/>
          <w:szCs w:val="24"/>
        </w:rPr>
        <w:t xml:space="preserve">evidence </w:t>
      </w:r>
      <w:r w:rsidR="00BD2D84">
        <w:rPr>
          <w:rFonts w:ascii="Arial" w:hAnsi="Arial" w:cs="Arial"/>
          <w:sz w:val="24"/>
          <w:szCs w:val="24"/>
        </w:rPr>
        <w:t>related to the quality of the attachment between a parent and a chil</w:t>
      </w:r>
      <w:r w:rsidR="00EC0F70">
        <w:rPr>
          <w:rFonts w:ascii="Arial" w:hAnsi="Arial" w:cs="Arial"/>
          <w:sz w:val="24"/>
          <w:szCs w:val="24"/>
        </w:rPr>
        <w:t xml:space="preserve">d and </w:t>
      </w:r>
      <w:r w:rsidR="006B5782">
        <w:rPr>
          <w:rFonts w:ascii="Arial" w:hAnsi="Arial" w:cs="Arial"/>
          <w:sz w:val="24"/>
          <w:szCs w:val="24"/>
        </w:rPr>
        <w:t xml:space="preserve">the impact </w:t>
      </w:r>
      <w:r w:rsidR="007F0435">
        <w:rPr>
          <w:rFonts w:ascii="Arial" w:hAnsi="Arial" w:cs="Arial"/>
          <w:sz w:val="24"/>
          <w:szCs w:val="24"/>
        </w:rPr>
        <w:t>on the child</w:t>
      </w:r>
      <w:r w:rsidR="007E3E75">
        <w:rPr>
          <w:rFonts w:ascii="Arial" w:hAnsi="Arial" w:cs="Arial"/>
          <w:sz w:val="24"/>
          <w:szCs w:val="24"/>
        </w:rPr>
        <w:t xml:space="preserve"> of continuing or severing this relationship</w:t>
      </w:r>
      <w:r w:rsidR="007F0435">
        <w:rPr>
          <w:rFonts w:ascii="Arial" w:hAnsi="Arial" w:cs="Arial"/>
          <w:sz w:val="24"/>
          <w:szCs w:val="24"/>
        </w:rPr>
        <w:t>.</w:t>
      </w:r>
      <w:r w:rsidR="00B1646F">
        <w:rPr>
          <w:rFonts w:ascii="Arial" w:hAnsi="Arial" w:cs="Arial"/>
          <w:sz w:val="24"/>
          <w:szCs w:val="24"/>
        </w:rPr>
        <w:t xml:space="preserve"> These assessments can also facilitate settlement</w:t>
      </w:r>
      <w:r w:rsidR="00F711C6">
        <w:rPr>
          <w:rFonts w:ascii="Arial" w:hAnsi="Arial" w:cs="Arial"/>
          <w:sz w:val="24"/>
          <w:szCs w:val="24"/>
        </w:rPr>
        <w:t xml:space="preserve"> </w:t>
      </w:r>
      <w:r w:rsidR="007E3E75">
        <w:rPr>
          <w:rFonts w:ascii="Arial" w:hAnsi="Arial" w:cs="Arial"/>
          <w:sz w:val="24"/>
          <w:szCs w:val="24"/>
        </w:rPr>
        <w:t xml:space="preserve">in some cases </w:t>
      </w:r>
      <w:r w:rsidR="00F711C6">
        <w:rPr>
          <w:rFonts w:ascii="Arial" w:hAnsi="Arial" w:cs="Arial"/>
          <w:sz w:val="24"/>
          <w:szCs w:val="24"/>
        </w:rPr>
        <w:t xml:space="preserve">and spare the parties from </w:t>
      </w:r>
      <w:r w:rsidR="00920318">
        <w:rPr>
          <w:rFonts w:ascii="Arial" w:hAnsi="Arial" w:cs="Arial"/>
          <w:sz w:val="24"/>
          <w:szCs w:val="24"/>
        </w:rPr>
        <w:t xml:space="preserve">enduring </w:t>
      </w:r>
      <w:r w:rsidR="00F711C6">
        <w:rPr>
          <w:rFonts w:ascii="Arial" w:hAnsi="Arial" w:cs="Arial"/>
          <w:sz w:val="24"/>
          <w:szCs w:val="24"/>
        </w:rPr>
        <w:t>the emotional</w:t>
      </w:r>
      <w:r w:rsidR="00D63505">
        <w:rPr>
          <w:rFonts w:ascii="Arial" w:hAnsi="Arial" w:cs="Arial"/>
          <w:sz w:val="24"/>
          <w:szCs w:val="24"/>
        </w:rPr>
        <w:t xml:space="preserve"> stress of a difficult trial.</w:t>
      </w:r>
    </w:p>
    <w:p w14:paraId="19CFF3A7" w14:textId="45CA5F22" w:rsidR="00290C56" w:rsidRDefault="00C24675">
      <w:pPr>
        <w:rPr>
          <w:rFonts w:ascii="Arial" w:hAnsi="Arial" w:cs="Arial"/>
          <w:sz w:val="24"/>
          <w:szCs w:val="24"/>
        </w:rPr>
      </w:pPr>
      <w:r>
        <w:rPr>
          <w:rFonts w:ascii="Arial" w:hAnsi="Arial" w:cs="Arial"/>
          <w:sz w:val="24"/>
          <w:szCs w:val="24"/>
        </w:rPr>
        <w:t>Professor</w:t>
      </w:r>
      <w:r w:rsidR="003E1EAF">
        <w:rPr>
          <w:rFonts w:ascii="Arial" w:hAnsi="Arial" w:cs="Arial"/>
          <w:sz w:val="24"/>
          <w:szCs w:val="24"/>
        </w:rPr>
        <w:t>s</w:t>
      </w:r>
      <w:r>
        <w:rPr>
          <w:rFonts w:ascii="Arial" w:hAnsi="Arial" w:cs="Arial"/>
          <w:sz w:val="24"/>
          <w:szCs w:val="24"/>
        </w:rPr>
        <w:t xml:space="preserve"> Nicholas </w:t>
      </w:r>
      <w:proofErr w:type="spellStart"/>
      <w:r>
        <w:rPr>
          <w:rFonts w:ascii="Arial" w:hAnsi="Arial" w:cs="Arial"/>
          <w:sz w:val="24"/>
          <w:szCs w:val="24"/>
        </w:rPr>
        <w:t>Bala</w:t>
      </w:r>
      <w:proofErr w:type="spellEnd"/>
      <w:r w:rsidR="003E1EAF">
        <w:rPr>
          <w:rFonts w:ascii="Arial" w:hAnsi="Arial" w:cs="Arial"/>
          <w:sz w:val="24"/>
          <w:szCs w:val="24"/>
        </w:rPr>
        <w:t xml:space="preserve"> and Alan </w:t>
      </w:r>
      <w:proofErr w:type="spellStart"/>
      <w:r w:rsidR="003E1EAF">
        <w:rPr>
          <w:rFonts w:ascii="Arial" w:hAnsi="Arial" w:cs="Arial"/>
          <w:sz w:val="24"/>
          <w:szCs w:val="24"/>
        </w:rPr>
        <w:t>Leschied</w:t>
      </w:r>
      <w:proofErr w:type="spellEnd"/>
      <w:r w:rsidR="001B41F0">
        <w:rPr>
          <w:rFonts w:ascii="Arial" w:hAnsi="Arial" w:cs="Arial"/>
          <w:sz w:val="24"/>
          <w:szCs w:val="24"/>
        </w:rPr>
        <w:t xml:space="preserve"> in 2006</w:t>
      </w:r>
      <w:r w:rsidR="008179D7">
        <w:rPr>
          <w:rFonts w:ascii="Arial" w:hAnsi="Arial" w:cs="Arial"/>
          <w:sz w:val="24"/>
          <w:szCs w:val="24"/>
        </w:rPr>
        <w:t xml:space="preserve"> </w:t>
      </w:r>
      <w:r w:rsidR="002B1FDA">
        <w:rPr>
          <w:rFonts w:ascii="Arial" w:hAnsi="Arial" w:cs="Arial"/>
          <w:sz w:val="24"/>
          <w:szCs w:val="24"/>
        </w:rPr>
        <w:t xml:space="preserve">conducted a survey </w:t>
      </w:r>
      <w:r w:rsidR="003A02F0">
        <w:rPr>
          <w:rFonts w:ascii="Arial" w:hAnsi="Arial" w:cs="Arial"/>
          <w:sz w:val="24"/>
          <w:szCs w:val="24"/>
        </w:rPr>
        <w:t xml:space="preserve">of judges and other family justice system stakeholders </w:t>
      </w:r>
      <w:r w:rsidR="004B675A">
        <w:rPr>
          <w:rFonts w:ascii="Arial" w:hAnsi="Arial" w:cs="Arial"/>
          <w:sz w:val="24"/>
          <w:szCs w:val="24"/>
        </w:rPr>
        <w:t xml:space="preserve">in Ontario </w:t>
      </w:r>
      <w:r w:rsidR="003A02F0">
        <w:rPr>
          <w:rFonts w:ascii="Arial" w:hAnsi="Arial" w:cs="Arial"/>
          <w:sz w:val="24"/>
          <w:szCs w:val="24"/>
        </w:rPr>
        <w:t xml:space="preserve">to examine the use </w:t>
      </w:r>
      <w:r w:rsidR="00EC1CBE">
        <w:rPr>
          <w:rFonts w:ascii="Arial" w:hAnsi="Arial" w:cs="Arial"/>
          <w:sz w:val="24"/>
          <w:szCs w:val="24"/>
        </w:rPr>
        <w:t>of parenting capacity assessments in child protection proceedings</w:t>
      </w:r>
      <w:r w:rsidR="00634884">
        <w:rPr>
          <w:rFonts w:ascii="Arial" w:hAnsi="Arial" w:cs="Arial"/>
          <w:sz w:val="24"/>
          <w:szCs w:val="24"/>
        </w:rPr>
        <w:t xml:space="preserve"> and to make recommendations for reform</w:t>
      </w:r>
      <w:r w:rsidR="00EC1CBE">
        <w:rPr>
          <w:rFonts w:ascii="Arial" w:hAnsi="Arial" w:cs="Arial"/>
          <w:sz w:val="24"/>
          <w:szCs w:val="24"/>
        </w:rPr>
        <w:t>.</w:t>
      </w:r>
      <w:r w:rsidR="00B268EC">
        <w:rPr>
          <w:rStyle w:val="FootnoteReference"/>
          <w:rFonts w:ascii="Arial" w:hAnsi="Arial" w:cs="Arial"/>
          <w:sz w:val="24"/>
          <w:szCs w:val="24"/>
        </w:rPr>
        <w:footnoteReference w:id="1"/>
      </w:r>
      <w:r w:rsidR="008A7175">
        <w:rPr>
          <w:rFonts w:ascii="Arial" w:hAnsi="Arial" w:cs="Arial"/>
          <w:sz w:val="24"/>
          <w:szCs w:val="24"/>
          <w:vertAlign w:val="superscript"/>
        </w:rPr>
        <w:t xml:space="preserve">  </w:t>
      </w:r>
      <w:r w:rsidR="00832769">
        <w:rPr>
          <w:rFonts w:ascii="Arial" w:hAnsi="Arial" w:cs="Arial"/>
          <w:sz w:val="24"/>
          <w:szCs w:val="24"/>
        </w:rPr>
        <w:t>The</w:t>
      </w:r>
      <w:r w:rsidR="00B14E0C">
        <w:rPr>
          <w:rFonts w:ascii="Arial" w:hAnsi="Arial" w:cs="Arial"/>
          <w:sz w:val="24"/>
          <w:szCs w:val="24"/>
        </w:rPr>
        <w:t xml:space="preserve"> researchers</w:t>
      </w:r>
      <w:r w:rsidR="00E60A10">
        <w:rPr>
          <w:rFonts w:ascii="Arial" w:hAnsi="Arial" w:cs="Arial"/>
          <w:sz w:val="24"/>
          <w:szCs w:val="24"/>
        </w:rPr>
        <w:t xml:space="preserve"> received</w:t>
      </w:r>
      <w:r w:rsidR="00832769">
        <w:rPr>
          <w:rFonts w:ascii="Arial" w:hAnsi="Arial" w:cs="Arial"/>
          <w:sz w:val="24"/>
          <w:szCs w:val="24"/>
        </w:rPr>
        <w:t xml:space="preserve"> survey</w:t>
      </w:r>
      <w:r w:rsidR="00E60A10">
        <w:rPr>
          <w:rFonts w:ascii="Arial" w:hAnsi="Arial" w:cs="Arial"/>
          <w:sz w:val="24"/>
          <w:szCs w:val="24"/>
        </w:rPr>
        <w:t xml:space="preserve"> responses from</w:t>
      </w:r>
      <w:r w:rsidR="00832769">
        <w:rPr>
          <w:rFonts w:ascii="Arial" w:hAnsi="Arial" w:cs="Arial"/>
          <w:sz w:val="24"/>
          <w:szCs w:val="24"/>
        </w:rPr>
        <w:t xml:space="preserve"> 27 </w:t>
      </w:r>
      <w:r w:rsidR="00150B1C">
        <w:rPr>
          <w:rFonts w:ascii="Arial" w:hAnsi="Arial" w:cs="Arial"/>
          <w:sz w:val="24"/>
          <w:szCs w:val="24"/>
        </w:rPr>
        <w:t xml:space="preserve">family </w:t>
      </w:r>
      <w:r w:rsidR="00E60A10">
        <w:rPr>
          <w:rFonts w:ascii="Arial" w:hAnsi="Arial" w:cs="Arial"/>
          <w:sz w:val="24"/>
          <w:szCs w:val="24"/>
        </w:rPr>
        <w:t xml:space="preserve">court </w:t>
      </w:r>
      <w:r w:rsidR="00832769">
        <w:rPr>
          <w:rFonts w:ascii="Arial" w:hAnsi="Arial" w:cs="Arial"/>
          <w:sz w:val="24"/>
          <w:szCs w:val="24"/>
        </w:rPr>
        <w:t xml:space="preserve">judges of </w:t>
      </w:r>
      <w:r w:rsidR="00832769">
        <w:rPr>
          <w:rFonts w:ascii="Arial" w:hAnsi="Arial" w:cs="Arial"/>
          <w:sz w:val="24"/>
          <w:szCs w:val="24"/>
        </w:rPr>
        <w:lastRenderedPageBreak/>
        <w:t xml:space="preserve">the </w:t>
      </w:r>
      <w:r w:rsidR="00150B1C">
        <w:rPr>
          <w:rFonts w:ascii="Arial" w:hAnsi="Arial" w:cs="Arial"/>
          <w:sz w:val="24"/>
          <w:szCs w:val="24"/>
        </w:rPr>
        <w:t>Superior Court of Justice and the Ontario Court</w:t>
      </w:r>
      <w:r w:rsidR="00E60A10">
        <w:rPr>
          <w:rFonts w:ascii="Arial" w:hAnsi="Arial" w:cs="Arial"/>
          <w:sz w:val="24"/>
          <w:szCs w:val="24"/>
        </w:rPr>
        <w:t xml:space="preserve"> of Justice</w:t>
      </w:r>
      <w:r w:rsidR="004B675A">
        <w:rPr>
          <w:rFonts w:ascii="Arial" w:hAnsi="Arial" w:cs="Arial"/>
          <w:sz w:val="24"/>
          <w:szCs w:val="24"/>
        </w:rPr>
        <w:t>.</w:t>
      </w:r>
      <w:r w:rsidR="005B011E">
        <w:rPr>
          <w:rFonts w:ascii="Arial" w:hAnsi="Arial" w:cs="Arial"/>
          <w:sz w:val="24"/>
          <w:szCs w:val="24"/>
        </w:rPr>
        <w:t xml:space="preserve">  </w:t>
      </w:r>
      <w:r w:rsidR="00D236D1">
        <w:rPr>
          <w:rFonts w:ascii="Arial" w:hAnsi="Arial" w:cs="Arial"/>
          <w:sz w:val="24"/>
          <w:szCs w:val="24"/>
        </w:rPr>
        <w:t xml:space="preserve">In this </w:t>
      </w:r>
      <w:r w:rsidR="00C112A0">
        <w:rPr>
          <w:rFonts w:ascii="Arial" w:hAnsi="Arial" w:cs="Arial"/>
          <w:sz w:val="24"/>
          <w:szCs w:val="24"/>
        </w:rPr>
        <w:t xml:space="preserve">survey, judges indicated that </w:t>
      </w:r>
      <w:r w:rsidR="008A51A3">
        <w:rPr>
          <w:rFonts w:ascii="Arial" w:hAnsi="Arial" w:cs="Arial"/>
          <w:sz w:val="24"/>
          <w:szCs w:val="24"/>
        </w:rPr>
        <w:t xml:space="preserve">a </w:t>
      </w:r>
      <w:r w:rsidR="00C112A0">
        <w:rPr>
          <w:rFonts w:ascii="Arial" w:hAnsi="Arial" w:cs="Arial"/>
          <w:sz w:val="24"/>
          <w:szCs w:val="24"/>
        </w:rPr>
        <w:t>parenting capacity assessment provide</w:t>
      </w:r>
      <w:r w:rsidR="006A715D">
        <w:rPr>
          <w:rFonts w:ascii="Arial" w:hAnsi="Arial" w:cs="Arial"/>
          <w:sz w:val="24"/>
          <w:szCs w:val="24"/>
        </w:rPr>
        <w:t>d</w:t>
      </w:r>
      <w:r w:rsidR="00C112A0">
        <w:rPr>
          <w:rFonts w:ascii="Arial" w:hAnsi="Arial" w:cs="Arial"/>
          <w:sz w:val="24"/>
          <w:szCs w:val="24"/>
        </w:rPr>
        <w:t xml:space="preserve"> information that influence</w:t>
      </w:r>
      <w:r w:rsidR="006A715D">
        <w:rPr>
          <w:rFonts w:ascii="Arial" w:hAnsi="Arial" w:cs="Arial"/>
          <w:sz w:val="24"/>
          <w:szCs w:val="24"/>
        </w:rPr>
        <w:t>d</w:t>
      </w:r>
      <w:r w:rsidR="00C112A0">
        <w:rPr>
          <w:rFonts w:ascii="Arial" w:hAnsi="Arial" w:cs="Arial"/>
          <w:sz w:val="24"/>
          <w:szCs w:val="24"/>
        </w:rPr>
        <w:t xml:space="preserve"> their decisions in 88</w:t>
      </w:r>
      <w:r w:rsidR="00204033">
        <w:rPr>
          <w:rFonts w:ascii="Arial" w:hAnsi="Arial" w:cs="Arial"/>
          <w:sz w:val="24"/>
          <w:szCs w:val="24"/>
        </w:rPr>
        <w:t xml:space="preserve">% of cases </w:t>
      </w:r>
      <w:r w:rsidR="00767F8E">
        <w:rPr>
          <w:rFonts w:ascii="Arial" w:hAnsi="Arial" w:cs="Arial"/>
          <w:sz w:val="24"/>
          <w:szCs w:val="24"/>
        </w:rPr>
        <w:t xml:space="preserve">where </w:t>
      </w:r>
      <w:r w:rsidR="006A715D">
        <w:rPr>
          <w:rFonts w:ascii="Arial" w:hAnsi="Arial" w:cs="Arial"/>
          <w:sz w:val="24"/>
          <w:szCs w:val="24"/>
        </w:rPr>
        <w:t xml:space="preserve">such </w:t>
      </w:r>
      <w:r w:rsidR="00767F8E">
        <w:rPr>
          <w:rFonts w:ascii="Arial" w:hAnsi="Arial" w:cs="Arial"/>
          <w:sz w:val="24"/>
          <w:szCs w:val="24"/>
        </w:rPr>
        <w:t>an assessme</w:t>
      </w:r>
      <w:r w:rsidR="006A715D">
        <w:rPr>
          <w:rFonts w:ascii="Arial" w:hAnsi="Arial" w:cs="Arial"/>
          <w:sz w:val="24"/>
          <w:szCs w:val="24"/>
        </w:rPr>
        <w:t xml:space="preserve">nt was </w:t>
      </w:r>
      <w:proofErr w:type="gramStart"/>
      <w:r w:rsidR="006A715D">
        <w:rPr>
          <w:rFonts w:ascii="Arial" w:hAnsi="Arial" w:cs="Arial"/>
          <w:sz w:val="24"/>
          <w:szCs w:val="24"/>
        </w:rPr>
        <w:t>conducted</w:t>
      </w:r>
      <w:proofErr w:type="gramEnd"/>
      <w:r w:rsidR="006A715D">
        <w:rPr>
          <w:rFonts w:ascii="Arial" w:hAnsi="Arial" w:cs="Arial"/>
          <w:sz w:val="24"/>
          <w:szCs w:val="24"/>
        </w:rPr>
        <w:t xml:space="preserve"> </w:t>
      </w:r>
      <w:r w:rsidR="00204033">
        <w:rPr>
          <w:rFonts w:ascii="Arial" w:hAnsi="Arial" w:cs="Arial"/>
          <w:sz w:val="24"/>
          <w:szCs w:val="24"/>
        </w:rPr>
        <w:t xml:space="preserve">and that the outcome of the case </w:t>
      </w:r>
      <w:r w:rsidR="000E0A92">
        <w:rPr>
          <w:rFonts w:ascii="Arial" w:hAnsi="Arial" w:cs="Arial"/>
          <w:sz w:val="24"/>
          <w:szCs w:val="24"/>
        </w:rPr>
        <w:t>was</w:t>
      </w:r>
      <w:r w:rsidR="00204033">
        <w:rPr>
          <w:rFonts w:ascii="Arial" w:hAnsi="Arial" w:cs="Arial"/>
          <w:sz w:val="24"/>
          <w:szCs w:val="24"/>
        </w:rPr>
        <w:t xml:space="preserve"> consistent with the recommendations of the assessor in 79% of </w:t>
      </w:r>
      <w:r w:rsidR="000E0A92">
        <w:rPr>
          <w:rFonts w:ascii="Arial" w:hAnsi="Arial" w:cs="Arial"/>
          <w:sz w:val="24"/>
          <w:szCs w:val="24"/>
        </w:rPr>
        <w:t xml:space="preserve">all such </w:t>
      </w:r>
      <w:r w:rsidR="00204033">
        <w:rPr>
          <w:rFonts w:ascii="Arial" w:hAnsi="Arial" w:cs="Arial"/>
          <w:sz w:val="24"/>
          <w:szCs w:val="24"/>
        </w:rPr>
        <w:t>cases.</w:t>
      </w:r>
      <w:r w:rsidR="002C4E05">
        <w:rPr>
          <w:rFonts w:ascii="Arial" w:hAnsi="Arial" w:cs="Arial"/>
          <w:sz w:val="24"/>
          <w:szCs w:val="24"/>
          <w:vertAlign w:val="superscript"/>
        </w:rPr>
        <w:t xml:space="preserve"> </w:t>
      </w:r>
      <w:r w:rsidR="00C33226">
        <w:t xml:space="preserve"> </w:t>
      </w:r>
      <w:r w:rsidR="00283A3E">
        <w:rPr>
          <w:rFonts w:ascii="Arial" w:hAnsi="Arial" w:cs="Arial"/>
          <w:sz w:val="24"/>
          <w:szCs w:val="24"/>
        </w:rPr>
        <w:t xml:space="preserve">All of the judges </w:t>
      </w:r>
      <w:proofErr w:type="gramStart"/>
      <w:r w:rsidR="00283A3E">
        <w:rPr>
          <w:rFonts w:ascii="Arial" w:hAnsi="Arial" w:cs="Arial"/>
          <w:sz w:val="24"/>
          <w:szCs w:val="24"/>
        </w:rPr>
        <w:t>surveyed</w:t>
      </w:r>
      <w:proofErr w:type="gramEnd"/>
      <w:r w:rsidR="00E46048">
        <w:rPr>
          <w:rFonts w:ascii="Arial" w:hAnsi="Arial" w:cs="Arial"/>
          <w:sz w:val="24"/>
          <w:szCs w:val="24"/>
        </w:rPr>
        <w:t xml:space="preserve"> and the majority of the lawyers</w:t>
      </w:r>
      <w:r w:rsidR="00B9465E">
        <w:rPr>
          <w:rFonts w:ascii="Arial" w:hAnsi="Arial" w:cs="Arial"/>
          <w:sz w:val="24"/>
          <w:szCs w:val="24"/>
        </w:rPr>
        <w:t xml:space="preserve"> surveyed </w:t>
      </w:r>
      <w:r w:rsidR="00CA2B1D">
        <w:rPr>
          <w:rFonts w:ascii="Arial" w:hAnsi="Arial" w:cs="Arial"/>
          <w:sz w:val="24"/>
          <w:szCs w:val="24"/>
        </w:rPr>
        <w:t xml:space="preserve">(both CAS counsel and parents counsel) </w:t>
      </w:r>
      <w:r w:rsidR="000F0465">
        <w:rPr>
          <w:rFonts w:ascii="Arial" w:hAnsi="Arial" w:cs="Arial"/>
          <w:sz w:val="24"/>
          <w:szCs w:val="24"/>
        </w:rPr>
        <w:t xml:space="preserve">also </w:t>
      </w:r>
      <w:r w:rsidR="00155D43">
        <w:rPr>
          <w:rFonts w:ascii="Arial" w:hAnsi="Arial" w:cs="Arial"/>
          <w:sz w:val="24"/>
          <w:szCs w:val="24"/>
        </w:rPr>
        <w:t>indicated that these assessments help to settle cases.</w:t>
      </w:r>
      <w:r w:rsidR="00CC205A">
        <w:rPr>
          <w:rStyle w:val="FootnoteReference"/>
          <w:rFonts w:ascii="Arial" w:hAnsi="Arial" w:cs="Arial"/>
          <w:sz w:val="24"/>
          <w:szCs w:val="24"/>
        </w:rPr>
        <w:footnoteReference w:id="2"/>
      </w:r>
      <w:r w:rsidR="00155D43">
        <w:rPr>
          <w:rFonts w:ascii="Arial" w:hAnsi="Arial" w:cs="Arial"/>
          <w:sz w:val="24"/>
          <w:szCs w:val="24"/>
        </w:rPr>
        <w:t xml:space="preserve"> </w:t>
      </w:r>
    </w:p>
    <w:p w14:paraId="1571DA83" w14:textId="3C8BD51B" w:rsidR="005F22C2" w:rsidRPr="00B06D7A" w:rsidRDefault="000721A9">
      <w:pPr>
        <w:rPr>
          <w:vertAlign w:val="superscript"/>
        </w:rPr>
      </w:pPr>
      <w:r>
        <w:rPr>
          <w:rFonts w:ascii="Arial" w:hAnsi="Arial" w:cs="Arial"/>
          <w:sz w:val="24"/>
          <w:szCs w:val="24"/>
        </w:rPr>
        <w:t xml:space="preserve">Despite the identified utility of these assessments, </w:t>
      </w:r>
      <w:r w:rsidR="00AF3B38">
        <w:rPr>
          <w:rFonts w:ascii="Arial" w:hAnsi="Arial" w:cs="Arial"/>
          <w:sz w:val="24"/>
          <w:szCs w:val="24"/>
        </w:rPr>
        <w:t xml:space="preserve">Dr. </w:t>
      </w:r>
      <w:proofErr w:type="spellStart"/>
      <w:proofErr w:type="gramStart"/>
      <w:r w:rsidR="00AF3B38">
        <w:rPr>
          <w:rFonts w:ascii="Arial" w:hAnsi="Arial" w:cs="Arial"/>
          <w:sz w:val="24"/>
          <w:szCs w:val="24"/>
        </w:rPr>
        <w:t>Bala</w:t>
      </w:r>
      <w:proofErr w:type="spellEnd"/>
      <w:proofErr w:type="gramEnd"/>
      <w:r w:rsidR="00AF3B38">
        <w:rPr>
          <w:rFonts w:ascii="Arial" w:hAnsi="Arial" w:cs="Arial"/>
          <w:sz w:val="24"/>
          <w:szCs w:val="24"/>
        </w:rPr>
        <w:t xml:space="preserve"> and Dr. </w:t>
      </w:r>
      <w:proofErr w:type="spellStart"/>
      <w:r w:rsidR="00AF3B38">
        <w:rPr>
          <w:rFonts w:ascii="Arial" w:hAnsi="Arial" w:cs="Arial"/>
          <w:sz w:val="24"/>
          <w:szCs w:val="24"/>
        </w:rPr>
        <w:t>Leschied</w:t>
      </w:r>
      <w:proofErr w:type="spellEnd"/>
      <w:r w:rsidR="00AF3B38">
        <w:rPr>
          <w:rFonts w:ascii="Arial" w:hAnsi="Arial" w:cs="Arial"/>
          <w:sz w:val="24"/>
          <w:szCs w:val="24"/>
        </w:rPr>
        <w:t xml:space="preserve"> identified a number of </w:t>
      </w:r>
      <w:r w:rsidR="006E62B7">
        <w:rPr>
          <w:rFonts w:ascii="Arial" w:hAnsi="Arial" w:cs="Arial"/>
          <w:sz w:val="24"/>
          <w:szCs w:val="24"/>
        </w:rPr>
        <w:t>concerning issues including the following:</w:t>
      </w:r>
      <w:r w:rsidR="00A679D4">
        <w:rPr>
          <w:rStyle w:val="FootnoteReference"/>
          <w:rFonts w:ascii="Arial" w:hAnsi="Arial" w:cs="Arial"/>
          <w:sz w:val="24"/>
          <w:szCs w:val="24"/>
        </w:rPr>
        <w:footnoteReference w:id="3"/>
      </w:r>
    </w:p>
    <w:p w14:paraId="37272F6E" w14:textId="07093C62" w:rsidR="006E62B7" w:rsidRDefault="006E62B7" w:rsidP="006E62B7">
      <w:pPr>
        <w:pStyle w:val="ListParagraph"/>
        <w:numPr>
          <w:ilvl w:val="0"/>
          <w:numId w:val="2"/>
        </w:numPr>
        <w:rPr>
          <w:rFonts w:ascii="Arial" w:hAnsi="Arial" w:cs="Arial"/>
          <w:sz w:val="24"/>
          <w:szCs w:val="24"/>
        </w:rPr>
      </w:pPr>
      <w:r>
        <w:rPr>
          <w:rFonts w:ascii="Arial" w:hAnsi="Arial" w:cs="Arial"/>
          <w:sz w:val="24"/>
          <w:szCs w:val="24"/>
        </w:rPr>
        <w:t>Lack of Standards</w:t>
      </w:r>
      <w:r w:rsidR="008C606C">
        <w:rPr>
          <w:rFonts w:ascii="Arial" w:hAnsi="Arial" w:cs="Arial"/>
          <w:sz w:val="24"/>
          <w:szCs w:val="24"/>
        </w:rPr>
        <w:t xml:space="preserve"> or Guidelines</w:t>
      </w:r>
      <w:r>
        <w:rPr>
          <w:rFonts w:ascii="Arial" w:hAnsi="Arial" w:cs="Arial"/>
          <w:sz w:val="24"/>
          <w:szCs w:val="24"/>
        </w:rPr>
        <w:t xml:space="preserve"> </w:t>
      </w:r>
      <w:r w:rsidR="0071670F">
        <w:rPr>
          <w:rFonts w:ascii="Arial" w:hAnsi="Arial" w:cs="Arial"/>
          <w:sz w:val="24"/>
          <w:szCs w:val="24"/>
        </w:rPr>
        <w:t xml:space="preserve">for the conduct of an </w:t>
      </w:r>
      <w:proofErr w:type="gramStart"/>
      <w:r w:rsidR="0071670F">
        <w:rPr>
          <w:rFonts w:ascii="Arial" w:hAnsi="Arial" w:cs="Arial"/>
          <w:sz w:val="24"/>
          <w:szCs w:val="24"/>
        </w:rPr>
        <w:t>assessment;</w:t>
      </w:r>
      <w:proofErr w:type="gramEnd"/>
    </w:p>
    <w:p w14:paraId="3D2B6DE4" w14:textId="0B208AE3" w:rsidR="0071670F" w:rsidRDefault="0071670F" w:rsidP="006E62B7">
      <w:pPr>
        <w:pStyle w:val="ListParagraph"/>
        <w:numPr>
          <w:ilvl w:val="0"/>
          <w:numId w:val="2"/>
        </w:numPr>
        <w:rPr>
          <w:rFonts w:ascii="Arial" w:hAnsi="Arial" w:cs="Arial"/>
          <w:sz w:val="24"/>
          <w:szCs w:val="24"/>
        </w:rPr>
      </w:pPr>
      <w:r>
        <w:rPr>
          <w:rFonts w:ascii="Arial" w:hAnsi="Arial" w:cs="Arial"/>
          <w:sz w:val="24"/>
          <w:szCs w:val="24"/>
        </w:rPr>
        <w:t>Lack of training opportunities</w:t>
      </w:r>
      <w:r w:rsidR="00AC6334">
        <w:rPr>
          <w:rFonts w:ascii="Arial" w:hAnsi="Arial" w:cs="Arial"/>
          <w:sz w:val="24"/>
          <w:szCs w:val="24"/>
        </w:rPr>
        <w:t xml:space="preserve"> for </w:t>
      </w:r>
      <w:proofErr w:type="gramStart"/>
      <w:r w:rsidR="00AC6334">
        <w:rPr>
          <w:rFonts w:ascii="Arial" w:hAnsi="Arial" w:cs="Arial"/>
          <w:sz w:val="24"/>
          <w:szCs w:val="24"/>
        </w:rPr>
        <w:t>assessors</w:t>
      </w:r>
      <w:r w:rsidR="004F36CD">
        <w:rPr>
          <w:rFonts w:ascii="Arial" w:hAnsi="Arial" w:cs="Arial"/>
          <w:sz w:val="24"/>
          <w:szCs w:val="24"/>
        </w:rPr>
        <w:t>;</w:t>
      </w:r>
      <w:proofErr w:type="gramEnd"/>
    </w:p>
    <w:p w14:paraId="2165F3E0" w14:textId="699BDCF1" w:rsidR="004F36CD" w:rsidRDefault="004F36CD" w:rsidP="006E62B7">
      <w:pPr>
        <w:pStyle w:val="ListParagraph"/>
        <w:numPr>
          <w:ilvl w:val="0"/>
          <w:numId w:val="2"/>
        </w:numPr>
        <w:rPr>
          <w:rFonts w:ascii="Arial" w:hAnsi="Arial" w:cs="Arial"/>
          <w:sz w:val="24"/>
          <w:szCs w:val="24"/>
        </w:rPr>
      </w:pPr>
      <w:r>
        <w:rPr>
          <w:rFonts w:ascii="Arial" w:hAnsi="Arial" w:cs="Arial"/>
          <w:sz w:val="24"/>
          <w:szCs w:val="24"/>
        </w:rPr>
        <w:t>Lack of qualified assessors</w:t>
      </w:r>
      <w:r w:rsidR="00C02B1E">
        <w:rPr>
          <w:rFonts w:ascii="Arial" w:hAnsi="Arial" w:cs="Arial"/>
          <w:sz w:val="24"/>
          <w:szCs w:val="24"/>
        </w:rPr>
        <w:t>;</w:t>
      </w:r>
      <w:r w:rsidR="00116528">
        <w:rPr>
          <w:rStyle w:val="FootnoteReference"/>
          <w:rFonts w:ascii="Arial" w:hAnsi="Arial" w:cs="Arial"/>
          <w:sz w:val="24"/>
          <w:szCs w:val="24"/>
        </w:rPr>
        <w:footnoteReference w:id="4"/>
      </w:r>
    </w:p>
    <w:p w14:paraId="52927DFE" w14:textId="6A5EE2E2" w:rsidR="00C02B1E" w:rsidRDefault="00775D38" w:rsidP="006E62B7">
      <w:pPr>
        <w:pStyle w:val="ListParagraph"/>
        <w:numPr>
          <w:ilvl w:val="0"/>
          <w:numId w:val="2"/>
        </w:numPr>
        <w:rPr>
          <w:rFonts w:ascii="Arial" w:hAnsi="Arial" w:cs="Arial"/>
          <w:sz w:val="24"/>
          <w:szCs w:val="24"/>
        </w:rPr>
      </w:pPr>
      <w:r>
        <w:rPr>
          <w:rFonts w:ascii="Arial" w:hAnsi="Arial" w:cs="Arial"/>
          <w:sz w:val="24"/>
          <w:szCs w:val="24"/>
        </w:rPr>
        <w:t xml:space="preserve">Clinicians’ </w:t>
      </w:r>
      <w:r w:rsidR="00DC46D9">
        <w:rPr>
          <w:rFonts w:ascii="Arial" w:hAnsi="Arial" w:cs="Arial"/>
          <w:sz w:val="24"/>
          <w:szCs w:val="24"/>
        </w:rPr>
        <w:t>lack of familiarity with the demands of completing a forensic child welfare assessment.</w:t>
      </w:r>
    </w:p>
    <w:p w14:paraId="01D82732" w14:textId="7FB8A437" w:rsidR="00D17490" w:rsidRDefault="007E5C19" w:rsidP="00B045C6">
      <w:pPr>
        <w:rPr>
          <w:rFonts w:ascii="Arial" w:hAnsi="Arial" w:cs="Arial"/>
          <w:sz w:val="24"/>
          <w:szCs w:val="24"/>
        </w:rPr>
      </w:pPr>
      <w:r>
        <w:rPr>
          <w:rFonts w:ascii="Arial" w:hAnsi="Arial" w:cs="Arial"/>
          <w:sz w:val="24"/>
          <w:szCs w:val="24"/>
        </w:rPr>
        <w:t xml:space="preserve">The authors recommended that the </w:t>
      </w:r>
      <w:r w:rsidR="00CF1EED">
        <w:rPr>
          <w:rFonts w:ascii="Arial" w:hAnsi="Arial" w:cs="Arial"/>
          <w:sz w:val="24"/>
          <w:szCs w:val="24"/>
        </w:rPr>
        <w:t>Ontario Government establish a centre</w:t>
      </w:r>
      <w:r w:rsidR="00762A82">
        <w:rPr>
          <w:rFonts w:ascii="Arial" w:hAnsi="Arial" w:cs="Arial"/>
          <w:sz w:val="24"/>
          <w:szCs w:val="24"/>
        </w:rPr>
        <w:t>, independent of child welfare agencies,</w:t>
      </w:r>
      <w:r w:rsidR="00CF1EED">
        <w:rPr>
          <w:rFonts w:ascii="Arial" w:hAnsi="Arial" w:cs="Arial"/>
          <w:sz w:val="24"/>
          <w:szCs w:val="24"/>
        </w:rPr>
        <w:t xml:space="preserve"> </w:t>
      </w:r>
      <w:r w:rsidR="0011750A">
        <w:rPr>
          <w:rFonts w:ascii="Arial" w:hAnsi="Arial" w:cs="Arial"/>
          <w:sz w:val="24"/>
          <w:szCs w:val="24"/>
        </w:rPr>
        <w:t xml:space="preserve">which would have </w:t>
      </w:r>
      <w:r w:rsidR="00CF1EED">
        <w:rPr>
          <w:rFonts w:ascii="Arial" w:hAnsi="Arial" w:cs="Arial"/>
          <w:sz w:val="24"/>
          <w:szCs w:val="24"/>
        </w:rPr>
        <w:t xml:space="preserve">a province-wide mandate </w:t>
      </w:r>
      <w:r w:rsidR="00E76FC8">
        <w:rPr>
          <w:rFonts w:ascii="Arial" w:hAnsi="Arial" w:cs="Arial"/>
          <w:sz w:val="24"/>
          <w:szCs w:val="24"/>
        </w:rPr>
        <w:t>to develop standards</w:t>
      </w:r>
      <w:r w:rsidR="000000CD">
        <w:rPr>
          <w:rFonts w:ascii="Arial" w:hAnsi="Arial" w:cs="Arial"/>
          <w:sz w:val="24"/>
          <w:szCs w:val="24"/>
        </w:rPr>
        <w:t xml:space="preserve">, </w:t>
      </w:r>
      <w:r w:rsidR="00607E73">
        <w:rPr>
          <w:rFonts w:ascii="Arial" w:hAnsi="Arial" w:cs="Arial"/>
          <w:sz w:val="24"/>
          <w:szCs w:val="24"/>
        </w:rPr>
        <w:t xml:space="preserve">establish </w:t>
      </w:r>
      <w:r w:rsidR="001C6DAF">
        <w:rPr>
          <w:rFonts w:ascii="Arial" w:hAnsi="Arial" w:cs="Arial"/>
          <w:sz w:val="24"/>
          <w:szCs w:val="24"/>
        </w:rPr>
        <w:t xml:space="preserve">the </w:t>
      </w:r>
      <w:r w:rsidR="00607E73">
        <w:rPr>
          <w:rFonts w:ascii="Arial" w:hAnsi="Arial" w:cs="Arial"/>
          <w:sz w:val="24"/>
          <w:szCs w:val="24"/>
        </w:rPr>
        <w:t>qualifications needed</w:t>
      </w:r>
      <w:r w:rsidR="001C6DAF">
        <w:rPr>
          <w:rFonts w:ascii="Arial" w:hAnsi="Arial" w:cs="Arial"/>
          <w:sz w:val="24"/>
          <w:szCs w:val="24"/>
        </w:rPr>
        <w:t xml:space="preserve"> to be an assessor</w:t>
      </w:r>
      <w:r w:rsidR="00607E73">
        <w:rPr>
          <w:rFonts w:ascii="Arial" w:hAnsi="Arial" w:cs="Arial"/>
          <w:sz w:val="24"/>
          <w:szCs w:val="24"/>
        </w:rPr>
        <w:t xml:space="preserve">, </w:t>
      </w:r>
      <w:r w:rsidR="000000CD">
        <w:rPr>
          <w:rFonts w:ascii="Arial" w:hAnsi="Arial" w:cs="Arial"/>
          <w:sz w:val="24"/>
          <w:szCs w:val="24"/>
        </w:rPr>
        <w:t xml:space="preserve">conduct </w:t>
      </w:r>
      <w:proofErr w:type="gramStart"/>
      <w:r w:rsidR="000000CD">
        <w:rPr>
          <w:rFonts w:ascii="Arial" w:hAnsi="Arial" w:cs="Arial"/>
          <w:sz w:val="24"/>
          <w:szCs w:val="24"/>
        </w:rPr>
        <w:t>training</w:t>
      </w:r>
      <w:proofErr w:type="gramEnd"/>
      <w:r w:rsidR="000000CD">
        <w:rPr>
          <w:rFonts w:ascii="Arial" w:hAnsi="Arial" w:cs="Arial"/>
          <w:sz w:val="24"/>
          <w:szCs w:val="24"/>
        </w:rPr>
        <w:t xml:space="preserve"> and research</w:t>
      </w:r>
      <w:r w:rsidR="00E76FC8">
        <w:rPr>
          <w:rFonts w:ascii="Arial" w:hAnsi="Arial" w:cs="Arial"/>
          <w:sz w:val="24"/>
          <w:szCs w:val="24"/>
        </w:rPr>
        <w:t xml:space="preserve"> and </w:t>
      </w:r>
      <w:r w:rsidR="003D7EB2">
        <w:rPr>
          <w:rFonts w:ascii="Arial" w:hAnsi="Arial" w:cs="Arial"/>
          <w:sz w:val="24"/>
          <w:szCs w:val="24"/>
        </w:rPr>
        <w:t>oversee this important work.</w:t>
      </w:r>
      <w:r w:rsidR="0096501A">
        <w:rPr>
          <w:rStyle w:val="FootnoteReference"/>
          <w:rFonts w:ascii="Arial" w:hAnsi="Arial" w:cs="Arial"/>
          <w:sz w:val="24"/>
          <w:szCs w:val="24"/>
        </w:rPr>
        <w:footnoteReference w:id="5"/>
      </w:r>
      <w:r w:rsidR="003D7EB2">
        <w:rPr>
          <w:rFonts w:ascii="Arial" w:hAnsi="Arial" w:cs="Arial"/>
          <w:sz w:val="24"/>
          <w:szCs w:val="24"/>
        </w:rPr>
        <w:t xml:space="preserve">  </w:t>
      </w:r>
    </w:p>
    <w:p w14:paraId="641D1B8A" w14:textId="6CC4C0CD" w:rsidR="00AA3792" w:rsidRDefault="00D17490" w:rsidP="00B045C6">
      <w:pPr>
        <w:rPr>
          <w:rFonts w:ascii="Arial" w:hAnsi="Arial" w:cs="Arial"/>
          <w:sz w:val="24"/>
          <w:szCs w:val="24"/>
        </w:rPr>
      </w:pPr>
      <w:r>
        <w:rPr>
          <w:rFonts w:ascii="Arial" w:hAnsi="Arial" w:cs="Arial"/>
          <w:sz w:val="24"/>
          <w:szCs w:val="24"/>
        </w:rPr>
        <w:t xml:space="preserve">Unfortunately, </w:t>
      </w:r>
      <w:r w:rsidR="003F4F7D">
        <w:rPr>
          <w:rFonts w:ascii="Arial" w:hAnsi="Arial" w:cs="Arial"/>
          <w:sz w:val="24"/>
          <w:szCs w:val="24"/>
        </w:rPr>
        <w:t xml:space="preserve">these recommendations were </w:t>
      </w:r>
      <w:r w:rsidR="0016041A">
        <w:rPr>
          <w:rFonts w:ascii="Arial" w:hAnsi="Arial" w:cs="Arial"/>
          <w:sz w:val="24"/>
          <w:szCs w:val="24"/>
        </w:rPr>
        <w:t>never</w:t>
      </w:r>
      <w:r w:rsidR="003F4F7D">
        <w:rPr>
          <w:rFonts w:ascii="Arial" w:hAnsi="Arial" w:cs="Arial"/>
          <w:sz w:val="24"/>
          <w:szCs w:val="24"/>
        </w:rPr>
        <w:t xml:space="preserve"> implemented</w:t>
      </w:r>
      <w:r w:rsidR="00E0374B">
        <w:rPr>
          <w:rFonts w:ascii="Arial" w:hAnsi="Arial" w:cs="Arial"/>
          <w:sz w:val="24"/>
          <w:szCs w:val="24"/>
        </w:rPr>
        <w:t>.  Furthermore</w:t>
      </w:r>
      <w:r w:rsidR="002C6207">
        <w:rPr>
          <w:rFonts w:ascii="Arial" w:hAnsi="Arial" w:cs="Arial"/>
          <w:sz w:val="24"/>
          <w:szCs w:val="24"/>
        </w:rPr>
        <w:t>, the same issues identified by the authors in their 2008</w:t>
      </w:r>
      <w:r w:rsidR="00513AE4">
        <w:rPr>
          <w:rFonts w:ascii="Arial" w:hAnsi="Arial" w:cs="Arial"/>
          <w:sz w:val="24"/>
          <w:szCs w:val="24"/>
        </w:rPr>
        <w:t xml:space="preserve"> paper</w:t>
      </w:r>
      <w:r w:rsidR="0016041A">
        <w:rPr>
          <w:rFonts w:ascii="Arial" w:hAnsi="Arial" w:cs="Arial"/>
          <w:sz w:val="24"/>
          <w:szCs w:val="24"/>
        </w:rPr>
        <w:t xml:space="preserve"> </w:t>
      </w:r>
      <w:r w:rsidR="00513AE4">
        <w:rPr>
          <w:rFonts w:ascii="Arial" w:hAnsi="Arial" w:cs="Arial"/>
          <w:sz w:val="24"/>
          <w:szCs w:val="24"/>
        </w:rPr>
        <w:t xml:space="preserve">continue to </w:t>
      </w:r>
      <w:r w:rsidR="00A83DDF">
        <w:rPr>
          <w:rFonts w:ascii="Arial" w:hAnsi="Arial" w:cs="Arial"/>
          <w:sz w:val="24"/>
          <w:szCs w:val="24"/>
        </w:rPr>
        <w:t xml:space="preserve">pose </w:t>
      </w:r>
      <w:r w:rsidR="0016041A">
        <w:rPr>
          <w:rFonts w:ascii="Arial" w:hAnsi="Arial" w:cs="Arial"/>
          <w:sz w:val="24"/>
          <w:szCs w:val="24"/>
        </w:rPr>
        <w:t xml:space="preserve">serious </w:t>
      </w:r>
      <w:r w:rsidR="00A83DDF">
        <w:rPr>
          <w:rFonts w:ascii="Arial" w:hAnsi="Arial" w:cs="Arial"/>
          <w:sz w:val="24"/>
          <w:szCs w:val="24"/>
        </w:rPr>
        <w:t>ch</w:t>
      </w:r>
      <w:r w:rsidR="003E23D8">
        <w:rPr>
          <w:rFonts w:ascii="Arial" w:hAnsi="Arial" w:cs="Arial"/>
          <w:sz w:val="24"/>
          <w:szCs w:val="24"/>
        </w:rPr>
        <w:t xml:space="preserve">allenges for child protection </w:t>
      </w:r>
      <w:r w:rsidR="0016041A">
        <w:rPr>
          <w:rFonts w:ascii="Arial" w:hAnsi="Arial" w:cs="Arial"/>
          <w:sz w:val="24"/>
          <w:szCs w:val="24"/>
        </w:rPr>
        <w:t xml:space="preserve">courts </w:t>
      </w:r>
      <w:r w:rsidR="0097789D">
        <w:rPr>
          <w:rFonts w:ascii="Arial" w:hAnsi="Arial" w:cs="Arial"/>
          <w:sz w:val="24"/>
          <w:szCs w:val="24"/>
        </w:rPr>
        <w:t xml:space="preserve">in Ontario </w:t>
      </w:r>
      <w:r w:rsidR="0016041A">
        <w:rPr>
          <w:rFonts w:ascii="Arial" w:hAnsi="Arial" w:cs="Arial"/>
          <w:sz w:val="24"/>
          <w:szCs w:val="24"/>
        </w:rPr>
        <w:t>today</w:t>
      </w:r>
      <w:r w:rsidR="00A86CA5">
        <w:rPr>
          <w:rFonts w:ascii="Arial" w:hAnsi="Arial" w:cs="Arial"/>
          <w:sz w:val="24"/>
          <w:szCs w:val="24"/>
        </w:rPr>
        <w:t>.</w:t>
      </w:r>
      <w:r w:rsidR="00861EA9">
        <w:rPr>
          <w:rFonts w:ascii="Arial" w:hAnsi="Arial" w:cs="Arial"/>
          <w:sz w:val="24"/>
          <w:szCs w:val="24"/>
        </w:rPr>
        <w:t xml:space="preserve">  </w:t>
      </w:r>
      <w:r w:rsidR="005E19DC">
        <w:rPr>
          <w:rFonts w:ascii="Arial" w:hAnsi="Arial" w:cs="Arial"/>
          <w:sz w:val="24"/>
          <w:szCs w:val="24"/>
        </w:rPr>
        <w:t xml:space="preserve">In addition, </w:t>
      </w:r>
      <w:r w:rsidR="004F4094">
        <w:rPr>
          <w:rFonts w:ascii="Arial" w:hAnsi="Arial" w:cs="Arial"/>
          <w:sz w:val="24"/>
          <w:szCs w:val="24"/>
        </w:rPr>
        <w:t xml:space="preserve">the potential dangers of </w:t>
      </w:r>
      <w:r w:rsidR="00421ED2">
        <w:rPr>
          <w:rFonts w:ascii="Arial" w:hAnsi="Arial" w:cs="Arial"/>
          <w:sz w:val="24"/>
          <w:szCs w:val="24"/>
        </w:rPr>
        <w:t xml:space="preserve">relying on flawed and unreliable opinion evidence </w:t>
      </w:r>
      <w:r w:rsidR="000D226D">
        <w:rPr>
          <w:rFonts w:ascii="Arial" w:hAnsi="Arial" w:cs="Arial"/>
          <w:sz w:val="24"/>
          <w:szCs w:val="24"/>
        </w:rPr>
        <w:t>have been highlighted in</w:t>
      </w:r>
      <w:r w:rsidR="00701FDE">
        <w:rPr>
          <w:rFonts w:ascii="Arial" w:hAnsi="Arial" w:cs="Arial"/>
          <w:sz w:val="24"/>
          <w:szCs w:val="24"/>
        </w:rPr>
        <w:t xml:space="preserve"> Ontario in both </w:t>
      </w:r>
      <w:r w:rsidR="000D226D">
        <w:rPr>
          <w:rFonts w:ascii="Arial" w:hAnsi="Arial" w:cs="Arial"/>
          <w:sz w:val="24"/>
          <w:szCs w:val="24"/>
        </w:rPr>
        <w:t xml:space="preserve">the </w:t>
      </w:r>
      <w:proofErr w:type="spellStart"/>
      <w:r w:rsidR="000D226D" w:rsidRPr="00531D73">
        <w:rPr>
          <w:rFonts w:ascii="Arial" w:hAnsi="Arial" w:cs="Arial"/>
          <w:i/>
          <w:iCs/>
          <w:sz w:val="24"/>
          <w:szCs w:val="24"/>
        </w:rPr>
        <w:t>Goudge</w:t>
      </w:r>
      <w:proofErr w:type="spellEnd"/>
      <w:r w:rsidR="000D226D">
        <w:rPr>
          <w:rFonts w:ascii="Arial" w:hAnsi="Arial" w:cs="Arial"/>
          <w:sz w:val="24"/>
          <w:szCs w:val="24"/>
        </w:rPr>
        <w:t xml:space="preserve"> and </w:t>
      </w:r>
      <w:proofErr w:type="spellStart"/>
      <w:r w:rsidR="000D226D" w:rsidRPr="00531D73">
        <w:rPr>
          <w:rFonts w:ascii="Arial" w:hAnsi="Arial" w:cs="Arial"/>
          <w:i/>
          <w:iCs/>
          <w:sz w:val="24"/>
          <w:szCs w:val="24"/>
        </w:rPr>
        <w:t>Motherisk</w:t>
      </w:r>
      <w:proofErr w:type="spellEnd"/>
      <w:r w:rsidR="000D226D">
        <w:rPr>
          <w:rFonts w:ascii="Arial" w:hAnsi="Arial" w:cs="Arial"/>
          <w:sz w:val="24"/>
          <w:szCs w:val="24"/>
        </w:rPr>
        <w:t xml:space="preserve"> Reports</w:t>
      </w:r>
      <w:r w:rsidR="00701FDE">
        <w:rPr>
          <w:rFonts w:ascii="Arial" w:hAnsi="Arial" w:cs="Arial"/>
          <w:sz w:val="24"/>
          <w:szCs w:val="24"/>
        </w:rPr>
        <w:t>.</w:t>
      </w:r>
      <w:r w:rsidR="00291388">
        <w:rPr>
          <w:rStyle w:val="FootnoteReference"/>
          <w:rFonts w:ascii="Arial" w:hAnsi="Arial" w:cs="Arial"/>
          <w:sz w:val="24"/>
          <w:szCs w:val="24"/>
        </w:rPr>
        <w:footnoteReference w:id="6"/>
      </w:r>
      <w:r w:rsidR="00421ED2">
        <w:rPr>
          <w:rFonts w:ascii="Arial" w:hAnsi="Arial" w:cs="Arial"/>
          <w:sz w:val="24"/>
          <w:szCs w:val="24"/>
        </w:rPr>
        <w:t xml:space="preserve"> </w:t>
      </w:r>
      <w:r w:rsidR="00291388">
        <w:rPr>
          <w:rFonts w:ascii="Arial" w:hAnsi="Arial" w:cs="Arial"/>
          <w:sz w:val="24"/>
          <w:szCs w:val="24"/>
        </w:rPr>
        <w:t xml:space="preserve"> I</w:t>
      </w:r>
      <w:r w:rsidR="005B52E6">
        <w:rPr>
          <w:rFonts w:ascii="Arial" w:hAnsi="Arial" w:cs="Arial"/>
          <w:sz w:val="24"/>
          <w:szCs w:val="24"/>
        </w:rPr>
        <w:t>n the wake of the</w:t>
      </w:r>
      <w:r w:rsidR="00467206">
        <w:rPr>
          <w:rFonts w:ascii="Arial" w:hAnsi="Arial" w:cs="Arial"/>
          <w:sz w:val="24"/>
          <w:szCs w:val="24"/>
        </w:rPr>
        <w:t xml:space="preserve"> recommendation</w:t>
      </w:r>
      <w:r w:rsidR="00614672">
        <w:rPr>
          <w:rFonts w:ascii="Arial" w:hAnsi="Arial" w:cs="Arial"/>
          <w:sz w:val="24"/>
          <w:szCs w:val="24"/>
        </w:rPr>
        <w:t>s outlined</w:t>
      </w:r>
      <w:r w:rsidR="00C0483E">
        <w:rPr>
          <w:rFonts w:ascii="Arial" w:hAnsi="Arial" w:cs="Arial"/>
          <w:sz w:val="24"/>
          <w:szCs w:val="24"/>
        </w:rPr>
        <w:t xml:space="preserve"> in</w:t>
      </w:r>
      <w:r w:rsidR="00614672">
        <w:rPr>
          <w:rFonts w:ascii="Arial" w:hAnsi="Arial" w:cs="Arial"/>
          <w:sz w:val="24"/>
          <w:szCs w:val="24"/>
        </w:rPr>
        <w:t xml:space="preserve"> these</w:t>
      </w:r>
      <w:r w:rsidR="004179AD">
        <w:rPr>
          <w:rFonts w:ascii="Arial" w:hAnsi="Arial" w:cs="Arial"/>
          <w:sz w:val="24"/>
          <w:szCs w:val="24"/>
        </w:rPr>
        <w:t xml:space="preserve"> reports</w:t>
      </w:r>
      <w:r w:rsidR="00564CCB">
        <w:rPr>
          <w:rFonts w:ascii="Arial" w:hAnsi="Arial" w:cs="Arial"/>
          <w:sz w:val="24"/>
          <w:szCs w:val="24"/>
        </w:rPr>
        <w:t>, courts are</w:t>
      </w:r>
      <w:r w:rsidR="00A872BA">
        <w:rPr>
          <w:rFonts w:ascii="Arial" w:hAnsi="Arial" w:cs="Arial"/>
          <w:sz w:val="24"/>
          <w:szCs w:val="24"/>
        </w:rPr>
        <w:t xml:space="preserve"> </w:t>
      </w:r>
      <w:r w:rsidR="000A0F30">
        <w:rPr>
          <w:rFonts w:ascii="Arial" w:hAnsi="Arial" w:cs="Arial"/>
          <w:sz w:val="24"/>
          <w:szCs w:val="24"/>
        </w:rPr>
        <w:t xml:space="preserve">taking their gatekeeper role very seriously and are </w:t>
      </w:r>
      <w:r w:rsidR="00A872BA">
        <w:rPr>
          <w:rFonts w:ascii="Arial" w:hAnsi="Arial" w:cs="Arial"/>
          <w:sz w:val="24"/>
          <w:szCs w:val="24"/>
        </w:rPr>
        <w:t>routinely applying an enhanced level of scrutiny to all expert opinion evidence.</w:t>
      </w:r>
      <w:r w:rsidR="000A0F30">
        <w:rPr>
          <w:rFonts w:ascii="Arial" w:hAnsi="Arial" w:cs="Arial"/>
          <w:sz w:val="24"/>
          <w:szCs w:val="24"/>
        </w:rPr>
        <w:t xml:space="preserve"> </w:t>
      </w:r>
      <w:r w:rsidR="00564CCB">
        <w:rPr>
          <w:rFonts w:ascii="Arial" w:hAnsi="Arial" w:cs="Arial"/>
          <w:sz w:val="24"/>
          <w:szCs w:val="24"/>
        </w:rPr>
        <w:t xml:space="preserve"> </w:t>
      </w:r>
    </w:p>
    <w:p w14:paraId="4311AA35" w14:textId="55B5AF8A" w:rsidR="00B045C6" w:rsidRDefault="006B65E4" w:rsidP="00B045C6">
      <w:pPr>
        <w:rPr>
          <w:rFonts w:ascii="Arial" w:hAnsi="Arial" w:cs="Arial"/>
          <w:sz w:val="24"/>
          <w:szCs w:val="24"/>
        </w:rPr>
      </w:pPr>
      <w:r>
        <w:rPr>
          <w:rFonts w:ascii="Arial" w:hAnsi="Arial" w:cs="Arial"/>
          <w:sz w:val="24"/>
          <w:szCs w:val="24"/>
        </w:rPr>
        <w:t xml:space="preserve">In </w:t>
      </w:r>
      <w:r w:rsidR="00F51CA2">
        <w:rPr>
          <w:rFonts w:ascii="Arial" w:hAnsi="Arial" w:cs="Arial"/>
          <w:sz w:val="24"/>
          <w:szCs w:val="24"/>
        </w:rPr>
        <w:t>this current post</w:t>
      </w:r>
      <w:r w:rsidR="00353979">
        <w:rPr>
          <w:rFonts w:ascii="Arial" w:hAnsi="Arial" w:cs="Arial"/>
          <w:sz w:val="24"/>
          <w:szCs w:val="24"/>
        </w:rPr>
        <w:t xml:space="preserve"> </w:t>
      </w:r>
      <w:proofErr w:type="spellStart"/>
      <w:r w:rsidR="00F51CA2" w:rsidRPr="00EF0E16">
        <w:rPr>
          <w:rFonts w:ascii="Arial" w:hAnsi="Arial" w:cs="Arial"/>
          <w:i/>
          <w:iCs/>
          <w:sz w:val="24"/>
          <w:szCs w:val="24"/>
        </w:rPr>
        <w:t>Goudge</w:t>
      </w:r>
      <w:proofErr w:type="spellEnd"/>
      <w:r w:rsidR="00F51CA2" w:rsidRPr="00EF0E16">
        <w:rPr>
          <w:rFonts w:ascii="Arial" w:hAnsi="Arial" w:cs="Arial"/>
          <w:i/>
          <w:iCs/>
          <w:sz w:val="24"/>
          <w:szCs w:val="24"/>
        </w:rPr>
        <w:t xml:space="preserve"> </w:t>
      </w:r>
      <w:r w:rsidR="00F51CA2">
        <w:rPr>
          <w:rFonts w:ascii="Arial" w:hAnsi="Arial" w:cs="Arial"/>
          <w:sz w:val="24"/>
          <w:szCs w:val="24"/>
        </w:rPr>
        <w:t xml:space="preserve">and post </w:t>
      </w:r>
      <w:proofErr w:type="spellStart"/>
      <w:r w:rsidR="00F51CA2" w:rsidRPr="00EF0E16">
        <w:rPr>
          <w:rFonts w:ascii="Arial" w:hAnsi="Arial" w:cs="Arial"/>
          <w:i/>
          <w:iCs/>
          <w:sz w:val="24"/>
          <w:szCs w:val="24"/>
        </w:rPr>
        <w:t>Motherisk</w:t>
      </w:r>
      <w:proofErr w:type="spellEnd"/>
      <w:r w:rsidR="00F51CA2">
        <w:rPr>
          <w:rFonts w:ascii="Arial" w:hAnsi="Arial" w:cs="Arial"/>
          <w:sz w:val="24"/>
          <w:szCs w:val="24"/>
        </w:rPr>
        <w:t xml:space="preserve"> era, </w:t>
      </w:r>
      <w:r>
        <w:rPr>
          <w:rFonts w:ascii="Arial" w:hAnsi="Arial" w:cs="Arial"/>
          <w:sz w:val="24"/>
          <w:szCs w:val="24"/>
        </w:rPr>
        <w:t>e</w:t>
      </w:r>
      <w:r w:rsidR="00C962E3">
        <w:rPr>
          <w:rFonts w:ascii="Arial" w:hAnsi="Arial" w:cs="Arial"/>
          <w:sz w:val="24"/>
          <w:szCs w:val="24"/>
        </w:rPr>
        <w:t>xpert o</w:t>
      </w:r>
      <w:r w:rsidR="00740469">
        <w:rPr>
          <w:rFonts w:ascii="Arial" w:hAnsi="Arial" w:cs="Arial"/>
          <w:sz w:val="24"/>
          <w:szCs w:val="24"/>
        </w:rPr>
        <w:t xml:space="preserve">pinion evidence is </w:t>
      </w:r>
      <w:r w:rsidR="00AE7886">
        <w:rPr>
          <w:rFonts w:ascii="Arial" w:hAnsi="Arial" w:cs="Arial"/>
          <w:sz w:val="24"/>
          <w:szCs w:val="24"/>
        </w:rPr>
        <w:t xml:space="preserve">now </w:t>
      </w:r>
      <w:r w:rsidR="00445BA1">
        <w:rPr>
          <w:rFonts w:ascii="Arial" w:hAnsi="Arial" w:cs="Arial"/>
          <w:sz w:val="24"/>
          <w:szCs w:val="24"/>
        </w:rPr>
        <w:t xml:space="preserve">more likely to be excluded altogether </w:t>
      </w:r>
      <w:r w:rsidR="00D15D48">
        <w:rPr>
          <w:rFonts w:ascii="Arial" w:hAnsi="Arial" w:cs="Arial"/>
          <w:sz w:val="24"/>
          <w:szCs w:val="24"/>
        </w:rPr>
        <w:t>by the</w:t>
      </w:r>
      <w:r w:rsidR="006F36F9">
        <w:rPr>
          <w:rFonts w:ascii="Arial" w:hAnsi="Arial" w:cs="Arial"/>
          <w:sz w:val="24"/>
          <w:szCs w:val="24"/>
        </w:rPr>
        <w:t xml:space="preserve"> child protection</w:t>
      </w:r>
      <w:r w:rsidR="00D15D48">
        <w:rPr>
          <w:rFonts w:ascii="Arial" w:hAnsi="Arial" w:cs="Arial"/>
          <w:sz w:val="24"/>
          <w:szCs w:val="24"/>
        </w:rPr>
        <w:t xml:space="preserve"> trial judge </w:t>
      </w:r>
      <w:r w:rsidR="00445BA1">
        <w:rPr>
          <w:rFonts w:ascii="Arial" w:hAnsi="Arial" w:cs="Arial"/>
          <w:sz w:val="24"/>
          <w:szCs w:val="24"/>
        </w:rPr>
        <w:t xml:space="preserve">or </w:t>
      </w:r>
      <w:r w:rsidR="00A83125">
        <w:rPr>
          <w:rFonts w:ascii="Arial" w:hAnsi="Arial" w:cs="Arial"/>
          <w:sz w:val="24"/>
          <w:szCs w:val="24"/>
        </w:rPr>
        <w:t>given minimal weight</w:t>
      </w:r>
      <w:r w:rsidR="00445BA1">
        <w:rPr>
          <w:rFonts w:ascii="Arial" w:hAnsi="Arial" w:cs="Arial"/>
          <w:sz w:val="24"/>
          <w:szCs w:val="24"/>
        </w:rPr>
        <w:t>.</w:t>
      </w:r>
      <w:r w:rsidR="00CE0CB4">
        <w:rPr>
          <w:rFonts w:ascii="Arial" w:hAnsi="Arial" w:cs="Arial"/>
          <w:sz w:val="24"/>
          <w:szCs w:val="24"/>
        </w:rPr>
        <w:t xml:space="preserve"> </w:t>
      </w:r>
      <w:r w:rsidR="008B7F0C">
        <w:rPr>
          <w:rFonts w:ascii="Arial" w:hAnsi="Arial" w:cs="Arial"/>
          <w:sz w:val="24"/>
          <w:szCs w:val="24"/>
        </w:rPr>
        <w:t xml:space="preserve"> This caution by the courts is understandable given</w:t>
      </w:r>
      <w:r w:rsidR="00BE793D">
        <w:rPr>
          <w:rFonts w:ascii="Arial" w:hAnsi="Arial" w:cs="Arial"/>
          <w:sz w:val="24"/>
          <w:szCs w:val="24"/>
        </w:rPr>
        <w:t xml:space="preserve"> the </w:t>
      </w:r>
      <w:r w:rsidR="00602AEF">
        <w:rPr>
          <w:rFonts w:ascii="Arial" w:hAnsi="Arial" w:cs="Arial"/>
          <w:sz w:val="24"/>
          <w:szCs w:val="24"/>
        </w:rPr>
        <w:t xml:space="preserve">extremely </w:t>
      </w:r>
      <w:r w:rsidR="00BE793D">
        <w:rPr>
          <w:rFonts w:ascii="Arial" w:hAnsi="Arial" w:cs="Arial"/>
          <w:sz w:val="24"/>
          <w:szCs w:val="24"/>
        </w:rPr>
        <w:t xml:space="preserve">high stakes of </w:t>
      </w:r>
      <w:r w:rsidR="00194FFA">
        <w:rPr>
          <w:rFonts w:ascii="Arial" w:hAnsi="Arial" w:cs="Arial"/>
          <w:sz w:val="24"/>
          <w:szCs w:val="24"/>
        </w:rPr>
        <w:t xml:space="preserve">a </w:t>
      </w:r>
      <w:r w:rsidR="00BE793D">
        <w:rPr>
          <w:rFonts w:ascii="Arial" w:hAnsi="Arial" w:cs="Arial"/>
          <w:sz w:val="24"/>
          <w:szCs w:val="24"/>
        </w:rPr>
        <w:t xml:space="preserve">child protection </w:t>
      </w:r>
      <w:r w:rsidR="00573DE4">
        <w:rPr>
          <w:rFonts w:ascii="Arial" w:hAnsi="Arial" w:cs="Arial"/>
          <w:sz w:val="24"/>
          <w:szCs w:val="24"/>
        </w:rPr>
        <w:t>trial where an extended care order is being sought</w:t>
      </w:r>
      <w:r w:rsidR="00A27595">
        <w:rPr>
          <w:rFonts w:ascii="Arial" w:hAnsi="Arial" w:cs="Arial"/>
          <w:sz w:val="24"/>
          <w:szCs w:val="24"/>
        </w:rPr>
        <w:t xml:space="preserve"> within a context </w:t>
      </w:r>
      <w:r w:rsidR="00A27595">
        <w:rPr>
          <w:rFonts w:ascii="Arial" w:hAnsi="Arial" w:cs="Arial"/>
          <w:sz w:val="24"/>
          <w:szCs w:val="24"/>
        </w:rPr>
        <w:lastRenderedPageBreak/>
        <w:t xml:space="preserve">where there is an absence of </w:t>
      </w:r>
      <w:r w:rsidR="00D86B4A">
        <w:rPr>
          <w:rFonts w:ascii="Arial" w:hAnsi="Arial" w:cs="Arial"/>
          <w:sz w:val="24"/>
          <w:szCs w:val="24"/>
        </w:rPr>
        <w:t>clear</w:t>
      </w:r>
      <w:r w:rsidR="0043157B">
        <w:rPr>
          <w:rFonts w:ascii="Arial" w:hAnsi="Arial" w:cs="Arial"/>
          <w:sz w:val="24"/>
          <w:szCs w:val="24"/>
        </w:rPr>
        <w:t xml:space="preserve"> forensic</w:t>
      </w:r>
      <w:r w:rsidR="00D86B4A">
        <w:rPr>
          <w:rFonts w:ascii="Arial" w:hAnsi="Arial" w:cs="Arial"/>
          <w:sz w:val="24"/>
          <w:szCs w:val="24"/>
        </w:rPr>
        <w:t xml:space="preserve"> </w:t>
      </w:r>
      <w:r w:rsidR="00A27595">
        <w:rPr>
          <w:rFonts w:ascii="Arial" w:hAnsi="Arial" w:cs="Arial"/>
          <w:sz w:val="24"/>
          <w:szCs w:val="24"/>
        </w:rPr>
        <w:t xml:space="preserve">standards or any </w:t>
      </w:r>
      <w:r w:rsidR="00EE7013">
        <w:rPr>
          <w:rFonts w:ascii="Arial" w:hAnsi="Arial" w:cs="Arial"/>
          <w:sz w:val="24"/>
          <w:szCs w:val="24"/>
        </w:rPr>
        <w:t xml:space="preserve">effective </w:t>
      </w:r>
      <w:r w:rsidR="00A27595">
        <w:rPr>
          <w:rFonts w:ascii="Arial" w:hAnsi="Arial" w:cs="Arial"/>
          <w:sz w:val="24"/>
          <w:szCs w:val="24"/>
        </w:rPr>
        <w:t xml:space="preserve">regulation of </w:t>
      </w:r>
      <w:r w:rsidR="00A83125">
        <w:rPr>
          <w:rFonts w:ascii="Arial" w:hAnsi="Arial" w:cs="Arial"/>
          <w:sz w:val="24"/>
          <w:szCs w:val="24"/>
        </w:rPr>
        <w:t>the</w:t>
      </w:r>
      <w:r w:rsidR="00896575">
        <w:rPr>
          <w:rFonts w:ascii="Arial" w:hAnsi="Arial" w:cs="Arial"/>
          <w:sz w:val="24"/>
          <w:szCs w:val="24"/>
        </w:rPr>
        <w:t>s</w:t>
      </w:r>
      <w:r w:rsidR="00A83125">
        <w:rPr>
          <w:rFonts w:ascii="Arial" w:hAnsi="Arial" w:cs="Arial"/>
          <w:sz w:val="24"/>
          <w:szCs w:val="24"/>
        </w:rPr>
        <w:t xml:space="preserve">e </w:t>
      </w:r>
      <w:r w:rsidR="00A27595">
        <w:rPr>
          <w:rFonts w:ascii="Arial" w:hAnsi="Arial" w:cs="Arial"/>
          <w:sz w:val="24"/>
          <w:szCs w:val="24"/>
        </w:rPr>
        <w:t>assessors</w:t>
      </w:r>
      <w:r w:rsidR="006D52B9">
        <w:rPr>
          <w:rFonts w:ascii="Arial" w:hAnsi="Arial" w:cs="Arial"/>
          <w:sz w:val="24"/>
          <w:szCs w:val="24"/>
        </w:rPr>
        <w:t>.</w:t>
      </w:r>
      <w:r w:rsidR="00573DE4">
        <w:rPr>
          <w:rFonts w:ascii="Arial" w:hAnsi="Arial" w:cs="Arial"/>
          <w:sz w:val="24"/>
          <w:szCs w:val="24"/>
        </w:rPr>
        <w:t xml:space="preserve">  </w:t>
      </w:r>
    </w:p>
    <w:p w14:paraId="703751AC" w14:textId="6AF02729" w:rsidR="00291034" w:rsidRDefault="006732F0" w:rsidP="00B045C6">
      <w:pPr>
        <w:rPr>
          <w:rFonts w:ascii="Arial" w:hAnsi="Arial" w:cs="Arial"/>
          <w:sz w:val="24"/>
          <w:szCs w:val="24"/>
        </w:rPr>
      </w:pPr>
      <w:r>
        <w:rPr>
          <w:rFonts w:ascii="Arial" w:hAnsi="Arial" w:cs="Arial"/>
          <w:sz w:val="24"/>
          <w:szCs w:val="24"/>
        </w:rPr>
        <w:t>A</w:t>
      </w:r>
      <w:r w:rsidR="00F166BD">
        <w:rPr>
          <w:rFonts w:ascii="Arial" w:hAnsi="Arial" w:cs="Arial"/>
          <w:sz w:val="24"/>
          <w:szCs w:val="24"/>
        </w:rPr>
        <w:t>t their best, a</w:t>
      </w:r>
      <w:r>
        <w:rPr>
          <w:rFonts w:ascii="Arial" w:hAnsi="Arial" w:cs="Arial"/>
          <w:sz w:val="24"/>
          <w:szCs w:val="24"/>
        </w:rPr>
        <w:t xml:space="preserve"> methodologically sound parenting capacity assessment by a properly qualified assessor</w:t>
      </w:r>
      <w:r w:rsidR="006D2B8D">
        <w:rPr>
          <w:rFonts w:ascii="Arial" w:hAnsi="Arial" w:cs="Arial"/>
          <w:sz w:val="24"/>
          <w:szCs w:val="24"/>
        </w:rPr>
        <w:t xml:space="preserve"> </w:t>
      </w:r>
      <w:r w:rsidR="00B2482F">
        <w:rPr>
          <w:rFonts w:ascii="Arial" w:hAnsi="Arial" w:cs="Arial"/>
          <w:sz w:val="24"/>
          <w:szCs w:val="24"/>
        </w:rPr>
        <w:t xml:space="preserve">can provide </w:t>
      </w:r>
      <w:r w:rsidR="00F166BD">
        <w:rPr>
          <w:rFonts w:ascii="Arial" w:hAnsi="Arial" w:cs="Arial"/>
          <w:sz w:val="24"/>
          <w:szCs w:val="24"/>
        </w:rPr>
        <w:t>an objective</w:t>
      </w:r>
      <w:r w:rsidR="00267E5A">
        <w:rPr>
          <w:rFonts w:ascii="Arial" w:hAnsi="Arial" w:cs="Arial"/>
          <w:sz w:val="24"/>
          <w:szCs w:val="24"/>
        </w:rPr>
        <w:t xml:space="preserve"> </w:t>
      </w:r>
      <w:r w:rsidR="00CA1336">
        <w:rPr>
          <w:rFonts w:ascii="Arial" w:hAnsi="Arial" w:cs="Arial"/>
          <w:sz w:val="24"/>
          <w:szCs w:val="24"/>
        </w:rPr>
        <w:t>evaluation</w:t>
      </w:r>
      <w:r w:rsidR="005A6A8A">
        <w:rPr>
          <w:rFonts w:ascii="Arial" w:hAnsi="Arial" w:cs="Arial"/>
          <w:sz w:val="24"/>
          <w:szCs w:val="24"/>
        </w:rPr>
        <w:t xml:space="preserve"> </w:t>
      </w:r>
      <w:r w:rsidR="00970FB4">
        <w:rPr>
          <w:rFonts w:ascii="Arial" w:hAnsi="Arial" w:cs="Arial"/>
          <w:sz w:val="24"/>
          <w:szCs w:val="24"/>
        </w:rPr>
        <w:t xml:space="preserve">of </w:t>
      </w:r>
      <w:r w:rsidR="00247312">
        <w:rPr>
          <w:rFonts w:ascii="Arial" w:hAnsi="Arial" w:cs="Arial"/>
          <w:sz w:val="24"/>
          <w:szCs w:val="24"/>
        </w:rPr>
        <w:t xml:space="preserve">clinical issues that are relevant to the determinations necessary in a particular case.  </w:t>
      </w:r>
      <w:r w:rsidR="00783486">
        <w:rPr>
          <w:rFonts w:ascii="Arial" w:hAnsi="Arial" w:cs="Arial"/>
          <w:sz w:val="24"/>
          <w:szCs w:val="24"/>
        </w:rPr>
        <w:t xml:space="preserve">Such a report </w:t>
      </w:r>
      <w:r w:rsidR="004F0A88">
        <w:rPr>
          <w:rFonts w:ascii="Arial" w:hAnsi="Arial" w:cs="Arial"/>
          <w:sz w:val="24"/>
          <w:szCs w:val="24"/>
        </w:rPr>
        <w:t xml:space="preserve">can </w:t>
      </w:r>
      <w:r w:rsidR="007977D9">
        <w:rPr>
          <w:rFonts w:ascii="Arial" w:hAnsi="Arial" w:cs="Arial"/>
          <w:sz w:val="24"/>
          <w:szCs w:val="24"/>
        </w:rPr>
        <w:t>contribute to accurate fact-finding and fair decision-making</w:t>
      </w:r>
      <w:r w:rsidR="003D70C6">
        <w:rPr>
          <w:rFonts w:ascii="Arial" w:hAnsi="Arial" w:cs="Arial"/>
          <w:sz w:val="24"/>
          <w:szCs w:val="24"/>
        </w:rPr>
        <w:t xml:space="preserve">.  </w:t>
      </w:r>
      <w:r w:rsidR="00BF73B9">
        <w:rPr>
          <w:rFonts w:ascii="Arial" w:hAnsi="Arial" w:cs="Arial"/>
          <w:sz w:val="24"/>
          <w:szCs w:val="24"/>
        </w:rPr>
        <w:t xml:space="preserve">It can </w:t>
      </w:r>
      <w:r w:rsidR="00242EC7">
        <w:rPr>
          <w:rFonts w:ascii="Arial" w:hAnsi="Arial" w:cs="Arial"/>
          <w:sz w:val="24"/>
          <w:szCs w:val="24"/>
        </w:rPr>
        <w:t>make recommendations for interventions</w:t>
      </w:r>
      <w:r w:rsidR="007533CC">
        <w:rPr>
          <w:rFonts w:ascii="Arial" w:hAnsi="Arial" w:cs="Arial"/>
          <w:sz w:val="24"/>
          <w:szCs w:val="24"/>
        </w:rPr>
        <w:t xml:space="preserve"> and </w:t>
      </w:r>
      <w:r w:rsidR="00FE5E07">
        <w:rPr>
          <w:rFonts w:ascii="Arial" w:hAnsi="Arial" w:cs="Arial"/>
          <w:sz w:val="24"/>
          <w:szCs w:val="24"/>
        </w:rPr>
        <w:t xml:space="preserve">highlight </w:t>
      </w:r>
      <w:r w:rsidR="008354AB">
        <w:rPr>
          <w:rFonts w:ascii="Arial" w:hAnsi="Arial" w:cs="Arial"/>
          <w:sz w:val="24"/>
          <w:szCs w:val="24"/>
        </w:rPr>
        <w:t xml:space="preserve">issues that may not have been properly identified or understood by child protection workers.  </w:t>
      </w:r>
      <w:r w:rsidR="00783486">
        <w:rPr>
          <w:rFonts w:ascii="Arial" w:hAnsi="Arial" w:cs="Arial"/>
          <w:sz w:val="24"/>
          <w:szCs w:val="24"/>
        </w:rPr>
        <w:t xml:space="preserve">This type of assessment </w:t>
      </w:r>
      <w:r w:rsidR="003515FC">
        <w:rPr>
          <w:rFonts w:ascii="Arial" w:hAnsi="Arial" w:cs="Arial"/>
          <w:sz w:val="24"/>
          <w:szCs w:val="24"/>
        </w:rPr>
        <w:t xml:space="preserve">can </w:t>
      </w:r>
      <w:r w:rsidR="008354AB">
        <w:rPr>
          <w:rFonts w:ascii="Arial" w:hAnsi="Arial" w:cs="Arial"/>
          <w:sz w:val="24"/>
          <w:szCs w:val="24"/>
        </w:rPr>
        <w:t xml:space="preserve">also </w:t>
      </w:r>
      <w:r w:rsidR="003515FC">
        <w:rPr>
          <w:rFonts w:ascii="Arial" w:hAnsi="Arial" w:cs="Arial"/>
          <w:sz w:val="24"/>
          <w:szCs w:val="24"/>
        </w:rPr>
        <w:t>provide a</w:t>
      </w:r>
      <w:r w:rsidR="00E21BB0">
        <w:rPr>
          <w:rFonts w:ascii="Arial" w:hAnsi="Arial" w:cs="Arial"/>
          <w:sz w:val="24"/>
          <w:szCs w:val="24"/>
        </w:rPr>
        <w:t xml:space="preserve">n important </w:t>
      </w:r>
      <w:r w:rsidR="003515FC">
        <w:rPr>
          <w:rFonts w:ascii="Arial" w:hAnsi="Arial" w:cs="Arial"/>
          <w:sz w:val="24"/>
          <w:szCs w:val="24"/>
        </w:rPr>
        <w:t>check</w:t>
      </w:r>
      <w:r w:rsidR="00BB2EC1">
        <w:rPr>
          <w:rFonts w:ascii="Arial" w:hAnsi="Arial" w:cs="Arial"/>
          <w:sz w:val="24"/>
          <w:szCs w:val="24"/>
        </w:rPr>
        <w:t xml:space="preserve"> and balance</w:t>
      </w:r>
      <w:r w:rsidR="003515FC">
        <w:rPr>
          <w:rFonts w:ascii="Arial" w:hAnsi="Arial" w:cs="Arial"/>
          <w:sz w:val="24"/>
          <w:szCs w:val="24"/>
        </w:rPr>
        <w:t xml:space="preserve"> on the work of frontline protection workers who have varying degrees of </w:t>
      </w:r>
      <w:r w:rsidR="008E7439">
        <w:rPr>
          <w:rFonts w:ascii="Arial" w:hAnsi="Arial" w:cs="Arial"/>
          <w:sz w:val="24"/>
          <w:szCs w:val="24"/>
        </w:rPr>
        <w:t xml:space="preserve">training, </w:t>
      </w:r>
      <w:proofErr w:type="gramStart"/>
      <w:r w:rsidR="008E7439">
        <w:rPr>
          <w:rFonts w:ascii="Arial" w:hAnsi="Arial" w:cs="Arial"/>
          <w:sz w:val="24"/>
          <w:szCs w:val="24"/>
        </w:rPr>
        <w:t>skill</w:t>
      </w:r>
      <w:proofErr w:type="gramEnd"/>
      <w:r w:rsidR="008E7439">
        <w:rPr>
          <w:rFonts w:ascii="Arial" w:hAnsi="Arial" w:cs="Arial"/>
          <w:sz w:val="24"/>
          <w:szCs w:val="24"/>
        </w:rPr>
        <w:t xml:space="preserve"> and experience in </w:t>
      </w:r>
      <w:r w:rsidR="009F091F">
        <w:rPr>
          <w:rFonts w:ascii="Arial" w:hAnsi="Arial" w:cs="Arial"/>
          <w:sz w:val="24"/>
          <w:szCs w:val="24"/>
        </w:rPr>
        <w:t xml:space="preserve">assessing </w:t>
      </w:r>
      <w:r w:rsidR="00834174">
        <w:rPr>
          <w:rFonts w:ascii="Arial" w:hAnsi="Arial" w:cs="Arial"/>
          <w:sz w:val="24"/>
          <w:szCs w:val="24"/>
        </w:rPr>
        <w:t xml:space="preserve">the capacity of parents who often present with a complex </w:t>
      </w:r>
      <w:r w:rsidR="0092303B">
        <w:rPr>
          <w:rFonts w:ascii="Arial" w:hAnsi="Arial" w:cs="Arial"/>
          <w:sz w:val="24"/>
          <w:szCs w:val="24"/>
        </w:rPr>
        <w:t xml:space="preserve">range of </w:t>
      </w:r>
      <w:r w:rsidR="00F214DC">
        <w:rPr>
          <w:rFonts w:ascii="Arial" w:hAnsi="Arial" w:cs="Arial"/>
          <w:sz w:val="24"/>
          <w:szCs w:val="24"/>
        </w:rPr>
        <w:t xml:space="preserve">clinical issues.  </w:t>
      </w:r>
    </w:p>
    <w:p w14:paraId="601D3AFB" w14:textId="430C8222" w:rsidR="00AD656D" w:rsidRDefault="003D70C6" w:rsidP="00B045C6">
      <w:pPr>
        <w:rPr>
          <w:rFonts w:ascii="Arial" w:hAnsi="Arial" w:cs="Arial"/>
          <w:sz w:val="24"/>
          <w:szCs w:val="24"/>
        </w:rPr>
      </w:pPr>
      <w:r>
        <w:rPr>
          <w:rFonts w:ascii="Arial" w:hAnsi="Arial" w:cs="Arial"/>
          <w:sz w:val="24"/>
          <w:szCs w:val="24"/>
        </w:rPr>
        <w:t xml:space="preserve">At their worst, </w:t>
      </w:r>
      <w:r w:rsidR="000C6782">
        <w:rPr>
          <w:rFonts w:ascii="Arial" w:hAnsi="Arial" w:cs="Arial"/>
          <w:sz w:val="24"/>
          <w:szCs w:val="24"/>
        </w:rPr>
        <w:t xml:space="preserve">these assessments can </w:t>
      </w:r>
      <w:r w:rsidR="00CC5E24">
        <w:rPr>
          <w:rFonts w:ascii="Arial" w:hAnsi="Arial" w:cs="Arial"/>
          <w:sz w:val="24"/>
          <w:szCs w:val="24"/>
        </w:rPr>
        <w:t xml:space="preserve">unnecessarily </w:t>
      </w:r>
      <w:r w:rsidR="00EF5F5E">
        <w:rPr>
          <w:rFonts w:ascii="Arial" w:hAnsi="Arial" w:cs="Arial"/>
          <w:sz w:val="24"/>
          <w:szCs w:val="24"/>
        </w:rPr>
        <w:t>increase the length and expense of a trial</w:t>
      </w:r>
      <w:r w:rsidR="00966A56">
        <w:rPr>
          <w:rFonts w:ascii="Arial" w:hAnsi="Arial" w:cs="Arial"/>
          <w:sz w:val="24"/>
          <w:szCs w:val="24"/>
        </w:rPr>
        <w:t xml:space="preserve"> and </w:t>
      </w:r>
      <w:r w:rsidR="00303BDD">
        <w:rPr>
          <w:rFonts w:ascii="Arial" w:hAnsi="Arial" w:cs="Arial"/>
          <w:sz w:val="24"/>
          <w:szCs w:val="24"/>
        </w:rPr>
        <w:t>distort</w:t>
      </w:r>
      <w:r w:rsidR="00CA0D8C">
        <w:rPr>
          <w:rFonts w:ascii="Arial" w:hAnsi="Arial" w:cs="Arial"/>
          <w:sz w:val="24"/>
          <w:szCs w:val="24"/>
        </w:rPr>
        <w:t xml:space="preserve"> the fact</w:t>
      </w:r>
      <w:r w:rsidR="00CC5E24">
        <w:rPr>
          <w:rFonts w:ascii="Arial" w:hAnsi="Arial" w:cs="Arial"/>
          <w:sz w:val="24"/>
          <w:szCs w:val="24"/>
        </w:rPr>
        <w:t>-</w:t>
      </w:r>
      <w:r w:rsidR="00CA0D8C">
        <w:rPr>
          <w:rFonts w:ascii="Arial" w:hAnsi="Arial" w:cs="Arial"/>
          <w:sz w:val="24"/>
          <w:szCs w:val="24"/>
        </w:rPr>
        <w:t>finding process</w:t>
      </w:r>
      <w:r w:rsidR="00364413">
        <w:rPr>
          <w:rFonts w:ascii="Arial" w:hAnsi="Arial" w:cs="Arial"/>
          <w:sz w:val="24"/>
          <w:szCs w:val="24"/>
        </w:rPr>
        <w:t xml:space="preserve"> through the provision of unreliable</w:t>
      </w:r>
      <w:r w:rsidR="008A5EE2">
        <w:rPr>
          <w:rFonts w:ascii="Arial" w:hAnsi="Arial" w:cs="Arial"/>
          <w:sz w:val="24"/>
          <w:szCs w:val="24"/>
        </w:rPr>
        <w:t xml:space="preserve"> opinion evidence</w:t>
      </w:r>
      <w:r w:rsidR="00667DFF">
        <w:rPr>
          <w:rFonts w:ascii="Arial" w:hAnsi="Arial" w:cs="Arial"/>
          <w:sz w:val="24"/>
          <w:szCs w:val="24"/>
        </w:rPr>
        <w:t>.  The reliability of opinion evidence</w:t>
      </w:r>
      <w:r w:rsidR="008A5EE2">
        <w:rPr>
          <w:rFonts w:ascii="Arial" w:hAnsi="Arial" w:cs="Arial"/>
          <w:sz w:val="24"/>
          <w:szCs w:val="24"/>
        </w:rPr>
        <w:t xml:space="preserve"> may be flawed</w:t>
      </w:r>
      <w:r w:rsidR="00781281">
        <w:rPr>
          <w:rFonts w:ascii="Arial" w:hAnsi="Arial" w:cs="Arial"/>
          <w:sz w:val="24"/>
          <w:szCs w:val="24"/>
        </w:rPr>
        <w:t xml:space="preserve"> due to </w:t>
      </w:r>
      <w:r w:rsidR="00257406">
        <w:rPr>
          <w:rFonts w:ascii="Arial" w:hAnsi="Arial" w:cs="Arial"/>
          <w:sz w:val="24"/>
          <w:szCs w:val="24"/>
        </w:rPr>
        <w:t xml:space="preserve">multiple sources of potential error including </w:t>
      </w:r>
      <w:r w:rsidR="00781281">
        <w:rPr>
          <w:rFonts w:ascii="Arial" w:hAnsi="Arial" w:cs="Arial"/>
          <w:sz w:val="24"/>
          <w:szCs w:val="24"/>
        </w:rPr>
        <w:t xml:space="preserve">assessor bias, unreliable testing instruments or </w:t>
      </w:r>
      <w:r w:rsidR="00B57F45">
        <w:rPr>
          <w:rFonts w:ascii="Arial" w:hAnsi="Arial" w:cs="Arial"/>
          <w:sz w:val="24"/>
          <w:szCs w:val="24"/>
        </w:rPr>
        <w:t xml:space="preserve">a general </w:t>
      </w:r>
      <w:r w:rsidR="00781281">
        <w:rPr>
          <w:rFonts w:ascii="Arial" w:hAnsi="Arial" w:cs="Arial"/>
          <w:sz w:val="24"/>
          <w:szCs w:val="24"/>
        </w:rPr>
        <w:t>lack of adherence to forensic methods</w:t>
      </w:r>
      <w:r w:rsidR="00CA0D8C">
        <w:rPr>
          <w:rFonts w:ascii="Arial" w:hAnsi="Arial" w:cs="Arial"/>
          <w:sz w:val="24"/>
          <w:szCs w:val="24"/>
        </w:rPr>
        <w:t>.</w:t>
      </w:r>
      <w:r w:rsidR="00966A56">
        <w:rPr>
          <w:rFonts w:ascii="Arial" w:hAnsi="Arial" w:cs="Arial"/>
          <w:sz w:val="24"/>
          <w:szCs w:val="24"/>
        </w:rPr>
        <w:t xml:space="preserve"> </w:t>
      </w:r>
      <w:r w:rsidR="00294084">
        <w:rPr>
          <w:rFonts w:ascii="Arial" w:hAnsi="Arial" w:cs="Arial"/>
          <w:sz w:val="24"/>
          <w:szCs w:val="24"/>
        </w:rPr>
        <w:t xml:space="preserve"> </w:t>
      </w:r>
      <w:r w:rsidR="00435B7E">
        <w:rPr>
          <w:rFonts w:ascii="Arial" w:hAnsi="Arial" w:cs="Arial"/>
          <w:sz w:val="24"/>
          <w:szCs w:val="24"/>
        </w:rPr>
        <w:t xml:space="preserve">Examples of both </w:t>
      </w:r>
      <w:r w:rsidR="00EB65D8">
        <w:rPr>
          <w:rFonts w:ascii="Arial" w:hAnsi="Arial" w:cs="Arial"/>
          <w:sz w:val="24"/>
          <w:szCs w:val="24"/>
        </w:rPr>
        <w:t xml:space="preserve">reliable and flawed </w:t>
      </w:r>
      <w:r w:rsidR="00785E0C">
        <w:rPr>
          <w:rFonts w:ascii="Arial" w:hAnsi="Arial" w:cs="Arial"/>
          <w:sz w:val="24"/>
          <w:szCs w:val="24"/>
        </w:rPr>
        <w:t>assessment</w:t>
      </w:r>
      <w:r w:rsidR="00EB65D8">
        <w:rPr>
          <w:rFonts w:ascii="Arial" w:hAnsi="Arial" w:cs="Arial"/>
          <w:sz w:val="24"/>
          <w:szCs w:val="24"/>
        </w:rPr>
        <w:t>s</w:t>
      </w:r>
      <w:r w:rsidR="00785E0C">
        <w:rPr>
          <w:rFonts w:ascii="Arial" w:hAnsi="Arial" w:cs="Arial"/>
          <w:sz w:val="24"/>
          <w:szCs w:val="24"/>
        </w:rPr>
        <w:t xml:space="preserve"> </w:t>
      </w:r>
      <w:r w:rsidR="0047674C">
        <w:rPr>
          <w:rFonts w:ascii="Arial" w:hAnsi="Arial" w:cs="Arial"/>
          <w:sz w:val="24"/>
          <w:szCs w:val="24"/>
        </w:rPr>
        <w:t xml:space="preserve">are </w:t>
      </w:r>
      <w:r w:rsidR="00996DF8">
        <w:rPr>
          <w:rFonts w:ascii="Arial" w:hAnsi="Arial" w:cs="Arial"/>
          <w:sz w:val="24"/>
          <w:szCs w:val="24"/>
        </w:rPr>
        <w:t xml:space="preserve">evident in a review of </w:t>
      </w:r>
      <w:r w:rsidR="00AF11C2">
        <w:rPr>
          <w:rFonts w:ascii="Arial" w:hAnsi="Arial" w:cs="Arial"/>
          <w:sz w:val="24"/>
          <w:szCs w:val="24"/>
        </w:rPr>
        <w:t xml:space="preserve">child protection caselaw in </w:t>
      </w:r>
      <w:r w:rsidR="00907D8D">
        <w:rPr>
          <w:rFonts w:ascii="Arial" w:hAnsi="Arial" w:cs="Arial"/>
          <w:sz w:val="24"/>
          <w:szCs w:val="24"/>
        </w:rPr>
        <w:t xml:space="preserve">Ontario spanning the past decade.  </w:t>
      </w:r>
    </w:p>
    <w:p w14:paraId="4DA48947" w14:textId="7C08687D" w:rsidR="00697CB9" w:rsidRDefault="0032342C" w:rsidP="00B045C6">
      <w:pPr>
        <w:rPr>
          <w:rFonts w:ascii="Arial" w:hAnsi="Arial" w:cs="Arial"/>
          <w:sz w:val="24"/>
          <w:szCs w:val="24"/>
        </w:rPr>
      </w:pPr>
      <w:r>
        <w:rPr>
          <w:rFonts w:ascii="Arial" w:hAnsi="Arial" w:cs="Arial"/>
          <w:sz w:val="24"/>
          <w:szCs w:val="24"/>
        </w:rPr>
        <w:t xml:space="preserve">This </w:t>
      </w:r>
      <w:r w:rsidR="008D2EB3">
        <w:rPr>
          <w:rFonts w:ascii="Arial" w:hAnsi="Arial" w:cs="Arial"/>
          <w:sz w:val="24"/>
          <w:szCs w:val="24"/>
        </w:rPr>
        <w:t xml:space="preserve">paper will provide a brief overview of </w:t>
      </w:r>
      <w:r w:rsidR="00640290">
        <w:rPr>
          <w:rFonts w:ascii="Arial" w:hAnsi="Arial" w:cs="Arial"/>
          <w:sz w:val="24"/>
          <w:szCs w:val="24"/>
        </w:rPr>
        <w:t xml:space="preserve">research and best practice recommendations from the field of psychology for the conduct </w:t>
      </w:r>
      <w:r w:rsidR="008D60D9">
        <w:rPr>
          <w:rFonts w:ascii="Arial" w:hAnsi="Arial" w:cs="Arial"/>
          <w:sz w:val="24"/>
          <w:szCs w:val="24"/>
        </w:rPr>
        <w:t xml:space="preserve">of these assessments.  </w:t>
      </w:r>
      <w:r w:rsidR="00A0375B">
        <w:rPr>
          <w:rFonts w:ascii="Arial" w:hAnsi="Arial" w:cs="Arial"/>
          <w:sz w:val="24"/>
          <w:szCs w:val="24"/>
        </w:rPr>
        <w:t xml:space="preserve">The second part of the paper will review caselaw from the Ontario jurisdiction </w:t>
      </w:r>
      <w:r w:rsidR="008E3960">
        <w:rPr>
          <w:rFonts w:ascii="Arial" w:hAnsi="Arial" w:cs="Arial"/>
          <w:sz w:val="24"/>
          <w:szCs w:val="24"/>
        </w:rPr>
        <w:t xml:space="preserve">spanning the past decade </w:t>
      </w:r>
      <w:r w:rsidR="0068287D">
        <w:rPr>
          <w:rFonts w:ascii="Arial" w:hAnsi="Arial" w:cs="Arial"/>
          <w:sz w:val="24"/>
          <w:szCs w:val="24"/>
        </w:rPr>
        <w:t>where</w:t>
      </w:r>
      <w:r w:rsidR="00457585">
        <w:rPr>
          <w:rFonts w:ascii="Arial" w:hAnsi="Arial" w:cs="Arial"/>
          <w:sz w:val="24"/>
          <w:szCs w:val="24"/>
        </w:rPr>
        <w:t xml:space="preserve"> parenting capacity assessments have been </w:t>
      </w:r>
      <w:r w:rsidR="00D5125C">
        <w:rPr>
          <w:rFonts w:ascii="Arial" w:hAnsi="Arial" w:cs="Arial"/>
          <w:sz w:val="24"/>
          <w:szCs w:val="24"/>
        </w:rPr>
        <w:t xml:space="preserve">considered </w:t>
      </w:r>
      <w:r w:rsidR="00853BA6">
        <w:rPr>
          <w:rFonts w:ascii="Arial" w:hAnsi="Arial" w:cs="Arial"/>
          <w:sz w:val="24"/>
          <w:szCs w:val="24"/>
        </w:rPr>
        <w:t>by the courts.</w:t>
      </w:r>
    </w:p>
    <w:p w14:paraId="6700C5F0" w14:textId="082701A5" w:rsidR="00697CB9" w:rsidRPr="00697CB9" w:rsidRDefault="000C6D50" w:rsidP="00B045C6">
      <w:pPr>
        <w:rPr>
          <w:rFonts w:ascii="Arial" w:hAnsi="Arial" w:cs="Arial"/>
          <w:b/>
          <w:bCs/>
          <w:sz w:val="24"/>
          <w:szCs w:val="24"/>
        </w:rPr>
      </w:pPr>
      <w:r>
        <w:rPr>
          <w:rFonts w:ascii="Arial" w:hAnsi="Arial" w:cs="Arial"/>
          <w:b/>
          <w:bCs/>
          <w:sz w:val="24"/>
          <w:szCs w:val="24"/>
        </w:rPr>
        <w:t>What is</w:t>
      </w:r>
      <w:r w:rsidR="00697CB9">
        <w:rPr>
          <w:rFonts w:ascii="Arial" w:hAnsi="Arial" w:cs="Arial"/>
          <w:b/>
          <w:bCs/>
          <w:sz w:val="24"/>
          <w:szCs w:val="24"/>
        </w:rPr>
        <w:t xml:space="preserve"> “</w:t>
      </w:r>
      <w:r w:rsidR="00697CB9" w:rsidRPr="00697CB9">
        <w:rPr>
          <w:rFonts w:ascii="Arial" w:hAnsi="Arial" w:cs="Arial"/>
          <w:b/>
          <w:bCs/>
          <w:sz w:val="24"/>
          <w:szCs w:val="24"/>
        </w:rPr>
        <w:t>Good Enough</w:t>
      </w:r>
      <w:r w:rsidR="00697CB9">
        <w:rPr>
          <w:rFonts w:ascii="Arial" w:hAnsi="Arial" w:cs="Arial"/>
          <w:b/>
          <w:bCs/>
          <w:sz w:val="24"/>
          <w:szCs w:val="24"/>
        </w:rPr>
        <w:t>”</w:t>
      </w:r>
      <w:r w:rsidR="00697CB9" w:rsidRPr="00697CB9">
        <w:rPr>
          <w:rFonts w:ascii="Arial" w:hAnsi="Arial" w:cs="Arial"/>
          <w:b/>
          <w:bCs/>
          <w:sz w:val="24"/>
          <w:szCs w:val="24"/>
        </w:rPr>
        <w:t xml:space="preserve"> Parenting</w:t>
      </w:r>
    </w:p>
    <w:p w14:paraId="704F7129" w14:textId="467DD26C" w:rsidR="000C6D50" w:rsidRDefault="00BC1B4C" w:rsidP="000C6D50">
      <w:pPr>
        <w:rPr>
          <w:rFonts w:ascii="Arial" w:hAnsi="Arial" w:cs="Arial"/>
          <w:sz w:val="24"/>
          <w:szCs w:val="24"/>
        </w:rPr>
      </w:pPr>
      <w:r>
        <w:rPr>
          <w:rFonts w:ascii="Arial" w:hAnsi="Arial" w:cs="Arial"/>
          <w:sz w:val="24"/>
          <w:szCs w:val="24"/>
        </w:rPr>
        <w:t xml:space="preserve">A central </w:t>
      </w:r>
      <w:r w:rsidR="00DD6CA1">
        <w:rPr>
          <w:rFonts w:ascii="Arial" w:hAnsi="Arial" w:cs="Arial"/>
          <w:sz w:val="24"/>
          <w:szCs w:val="24"/>
        </w:rPr>
        <w:t xml:space="preserve">focus in child protection cases is </w:t>
      </w:r>
      <w:r w:rsidR="000B3FA5">
        <w:rPr>
          <w:rFonts w:ascii="Arial" w:hAnsi="Arial" w:cs="Arial"/>
          <w:sz w:val="24"/>
          <w:szCs w:val="24"/>
        </w:rPr>
        <w:t xml:space="preserve">the </w:t>
      </w:r>
      <w:r w:rsidR="006D7DBF">
        <w:rPr>
          <w:rFonts w:ascii="Arial" w:hAnsi="Arial" w:cs="Arial"/>
          <w:sz w:val="24"/>
          <w:szCs w:val="24"/>
        </w:rPr>
        <w:t>determination of</w:t>
      </w:r>
      <w:r w:rsidR="000B3FA5">
        <w:rPr>
          <w:rFonts w:ascii="Arial" w:hAnsi="Arial" w:cs="Arial"/>
          <w:sz w:val="24"/>
          <w:szCs w:val="24"/>
        </w:rPr>
        <w:t xml:space="preserve"> whether </w:t>
      </w:r>
      <w:r w:rsidR="002C14C3">
        <w:rPr>
          <w:rFonts w:ascii="Arial" w:hAnsi="Arial" w:cs="Arial"/>
          <w:sz w:val="24"/>
          <w:szCs w:val="24"/>
        </w:rPr>
        <w:t xml:space="preserve">a particular parent can provide </w:t>
      </w:r>
      <w:r w:rsidR="00D60326">
        <w:rPr>
          <w:rFonts w:ascii="Arial" w:hAnsi="Arial" w:cs="Arial"/>
          <w:sz w:val="24"/>
          <w:szCs w:val="24"/>
        </w:rPr>
        <w:t>‘</w:t>
      </w:r>
      <w:r w:rsidR="002C14C3">
        <w:rPr>
          <w:rFonts w:ascii="Arial" w:hAnsi="Arial" w:cs="Arial"/>
          <w:sz w:val="24"/>
          <w:szCs w:val="24"/>
        </w:rPr>
        <w:t>good enough</w:t>
      </w:r>
      <w:r w:rsidR="00D60326">
        <w:rPr>
          <w:rFonts w:ascii="Arial" w:hAnsi="Arial" w:cs="Arial"/>
          <w:sz w:val="24"/>
          <w:szCs w:val="24"/>
        </w:rPr>
        <w:t>’</w:t>
      </w:r>
      <w:r w:rsidR="002C14C3">
        <w:rPr>
          <w:rFonts w:ascii="Arial" w:hAnsi="Arial" w:cs="Arial"/>
          <w:sz w:val="24"/>
          <w:szCs w:val="24"/>
        </w:rPr>
        <w:t xml:space="preserve"> </w:t>
      </w:r>
      <w:r w:rsidR="00963C5F">
        <w:rPr>
          <w:rFonts w:ascii="Arial" w:hAnsi="Arial" w:cs="Arial"/>
          <w:sz w:val="24"/>
          <w:szCs w:val="24"/>
        </w:rPr>
        <w:t xml:space="preserve">or </w:t>
      </w:r>
      <w:r w:rsidR="00A245BD">
        <w:rPr>
          <w:rFonts w:ascii="Arial" w:hAnsi="Arial" w:cs="Arial"/>
          <w:sz w:val="24"/>
          <w:szCs w:val="24"/>
        </w:rPr>
        <w:t>‘</w:t>
      </w:r>
      <w:r w:rsidR="00963C5F">
        <w:rPr>
          <w:rFonts w:ascii="Arial" w:hAnsi="Arial" w:cs="Arial"/>
          <w:sz w:val="24"/>
          <w:szCs w:val="24"/>
        </w:rPr>
        <w:t>minimally adequate</w:t>
      </w:r>
      <w:r w:rsidR="00A245BD">
        <w:rPr>
          <w:rFonts w:ascii="Arial" w:hAnsi="Arial" w:cs="Arial"/>
          <w:sz w:val="24"/>
          <w:szCs w:val="24"/>
        </w:rPr>
        <w:t>’</w:t>
      </w:r>
      <w:r w:rsidR="00963C5F">
        <w:rPr>
          <w:rFonts w:ascii="Arial" w:hAnsi="Arial" w:cs="Arial"/>
          <w:sz w:val="24"/>
          <w:szCs w:val="24"/>
        </w:rPr>
        <w:t xml:space="preserve"> </w:t>
      </w:r>
      <w:r w:rsidR="002C14C3">
        <w:rPr>
          <w:rFonts w:ascii="Arial" w:hAnsi="Arial" w:cs="Arial"/>
          <w:sz w:val="24"/>
          <w:szCs w:val="24"/>
        </w:rPr>
        <w:t>parenting</w:t>
      </w:r>
      <w:r w:rsidR="006353B3">
        <w:rPr>
          <w:rFonts w:ascii="Arial" w:hAnsi="Arial" w:cs="Arial"/>
          <w:sz w:val="24"/>
          <w:szCs w:val="24"/>
        </w:rPr>
        <w:t xml:space="preserve"> to a particular child</w:t>
      </w:r>
      <w:r w:rsidR="000B3FA5">
        <w:rPr>
          <w:rFonts w:ascii="Arial" w:hAnsi="Arial" w:cs="Arial"/>
          <w:sz w:val="24"/>
          <w:szCs w:val="24"/>
        </w:rPr>
        <w:t xml:space="preserve">.  </w:t>
      </w:r>
      <w:r w:rsidR="00A06A54">
        <w:rPr>
          <w:rFonts w:ascii="Arial" w:hAnsi="Arial" w:cs="Arial"/>
          <w:sz w:val="24"/>
          <w:szCs w:val="24"/>
        </w:rPr>
        <w:t xml:space="preserve">However, given the number of </w:t>
      </w:r>
      <w:r w:rsidR="00C304BD">
        <w:rPr>
          <w:rFonts w:ascii="Arial" w:hAnsi="Arial" w:cs="Arial"/>
          <w:sz w:val="24"/>
          <w:szCs w:val="24"/>
        </w:rPr>
        <w:t xml:space="preserve">complex </w:t>
      </w:r>
      <w:r w:rsidR="00B8576F">
        <w:rPr>
          <w:rFonts w:ascii="Arial" w:hAnsi="Arial" w:cs="Arial"/>
          <w:sz w:val="24"/>
          <w:szCs w:val="24"/>
        </w:rPr>
        <w:t xml:space="preserve">environmental, </w:t>
      </w:r>
      <w:r w:rsidR="00FE2E89">
        <w:rPr>
          <w:rFonts w:ascii="Arial" w:hAnsi="Arial" w:cs="Arial"/>
          <w:sz w:val="24"/>
          <w:szCs w:val="24"/>
        </w:rPr>
        <w:t xml:space="preserve">family, child and parent </w:t>
      </w:r>
      <w:r w:rsidR="00C304BD">
        <w:rPr>
          <w:rFonts w:ascii="Arial" w:hAnsi="Arial" w:cs="Arial"/>
          <w:sz w:val="24"/>
          <w:szCs w:val="24"/>
        </w:rPr>
        <w:t>variables involved in this task, t</w:t>
      </w:r>
      <w:r w:rsidR="00AB628D">
        <w:rPr>
          <w:rFonts w:ascii="Arial" w:hAnsi="Arial" w:cs="Arial"/>
          <w:sz w:val="24"/>
          <w:szCs w:val="24"/>
        </w:rPr>
        <w:t xml:space="preserve">here is no single </w:t>
      </w:r>
      <w:r w:rsidR="00AE61BD">
        <w:rPr>
          <w:rFonts w:ascii="Arial" w:hAnsi="Arial" w:cs="Arial"/>
          <w:sz w:val="24"/>
          <w:szCs w:val="24"/>
        </w:rPr>
        <w:t xml:space="preserve">legal or clinical definition of the ‘good enough’ parent.  </w:t>
      </w:r>
      <w:r w:rsidR="00C959A2">
        <w:rPr>
          <w:rFonts w:ascii="Arial" w:hAnsi="Arial" w:cs="Arial"/>
          <w:sz w:val="24"/>
          <w:szCs w:val="24"/>
        </w:rPr>
        <w:t xml:space="preserve">In </w:t>
      </w:r>
      <w:r w:rsidR="000543E6">
        <w:rPr>
          <w:rFonts w:ascii="Arial" w:hAnsi="Arial" w:cs="Arial"/>
          <w:sz w:val="24"/>
          <w:szCs w:val="24"/>
        </w:rPr>
        <w:t>one</w:t>
      </w:r>
      <w:r w:rsidR="00C959A2">
        <w:rPr>
          <w:rFonts w:ascii="Arial" w:hAnsi="Arial" w:cs="Arial"/>
          <w:sz w:val="24"/>
          <w:szCs w:val="24"/>
        </w:rPr>
        <w:t xml:space="preserve"> comprehensive literature review on the assessment of parenting capacity</w:t>
      </w:r>
      <w:r w:rsidR="006E5A2D">
        <w:rPr>
          <w:rFonts w:ascii="Arial" w:hAnsi="Arial" w:cs="Arial"/>
          <w:sz w:val="24"/>
          <w:szCs w:val="24"/>
        </w:rPr>
        <w:t xml:space="preserve"> published in 2005</w:t>
      </w:r>
      <w:r w:rsidR="00C959A2">
        <w:rPr>
          <w:rFonts w:ascii="Arial" w:hAnsi="Arial" w:cs="Arial"/>
          <w:sz w:val="24"/>
          <w:szCs w:val="24"/>
        </w:rPr>
        <w:t>,</w:t>
      </w:r>
      <w:r w:rsidR="000543E6">
        <w:rPr>
          <w:rFonts w:ascii="Arial" w:hAnsi="Arial" w:cs="Arial"/>
          <w:sz w:val="24"/>
          <w:szCs w:val="24"/>
        </w:rPr>
        <w:t xml:space="preserve"> </w:t>
      </w:r>
      <w:r w:rsidR="00447E56">
        <w:rPr>
          <w:rFonts w:ascii="Arial" w:hAnsi="Arial" w:cs="Arial"/>
          <w:sz w:val="24"/>
          <w:szCs w:val="24"/>
        </w:rPr>
        <w:t>Angela Walker</w:t>
      </w:r>
      <w:r w:rsidR="006E5A2D">
        <w:rPr>
          <w:rFonts w:ascii="Arial" w:hAnsi="Arial" w:cs="Arial"/>
          <w:sz w:val="24"/>
          <w:szCs w:val="24"/>
        </w:rPr>
        <w:t xml:space="preserve"> </w:t>
      </w:r>
      <w:r w:rsidR="00711F58">
        <w:rPr>
          <w:rFonts w:ascii="Arial" w:hAnsi="Arial" w:cs="Arial"/>
          <w:sz w:val="24"/>
          <w:szCs w:val="24"/>
        </w:rPr>
        <w:t xml:space="preserve">underscores the challenges inherent in </w:t>
      </w:r>
      <w:r w:rsidR="00F82098">
        <w:rPr>
          <w:rFonts w:ascii="Arial" w:hAnsi="Arial" w:cs="Arial"/>
          <w:sz w:val="24"/>
          <w:szCs w:val="24"/>
        </w:rPr>
        <w:t>evaluating parenting capacity given the a</w:t>
      </w:r>
      <w:r w:rsidR="00211E54">
        <w:rPr>
          <w:rFonts w:ascii="Arial" w:hAnsi="Arial" w:cs="Arial"/>
          <w:sz w:val="24"/>
          <w:szCs w:val="24"/>
        </w:rPr>
        <w:t xml:space="preserve">bsence of any </w:t>
      </w:r>
      <w:r w:rsidR="00695258">
        <w:rPr>
          <w:rFonts w:ascii="Arial" w:hAnsi="Arial" w:cs="Arial"/>
          <w:sz w:val="24"/>
          <w:szCs w:val="24"/>
        </w:rPr>
        <w:t xml:space="preserve">empirical </w:t>
      </w:r>
      <w:r w:rsidR="00211E54">
        <w:rPr>
          <w:rFonts w:ascii="Arial" w:hAnsi="Arial" w:cs="Arial"/>
          <w:sz w:val="24"/>
          <w:szCs w:val="24"/>
        </w:rPr>
        <w:t>clarity</w:t>
      </w:r>
      <w:r w:rsidR="00BD2450">
        <w:rPr>
          <w:rFonts w:ascii="Arial" w:hAnsi="Arial" w:cs="Arial"/>
          <w:sz w:val="24"/>
          <w:szCs w:val="24"/>
        </w:rPr>
        <w:t xml:space="preserve"> surrounding the definition of </w:t>
      </w:r>
      <w:r w:rsidR="005D406F">
        <w:rPr>
          <w:rFonts w:ascii="Arial" w:hAnsi="Arial" w:cs="Arial"/>
          <w:sz w:val="24"/>
          <w:szCs w:val="24"/>
        </w:rPr>
        <w:t xml:space="preserve">minimally adequate </w:t>
      </w:r>
      <w:r w:rsidR="00BD2450">
        <w:rPr>
          <w:rFonts w:ascii="Arial" w:hAnsi="Arial" w:cs="Arial"/>
          <w:sz w:val="24"/>
          <w:szCs w:val="24"/>
        </w:rPr>
        <w:t>parenting</w:t>
      </w:r>
      <w:r w:rsidR="0061432D">
        <w:rPr>
          <w:rFonts w:ascii="Arial" w:hAnsi="Arial" w:cs="Arial"/>
          <w:sz w:val="24"/>
          <w:szCs w:val="24"/>
        </w:rPr>
        <w:t>.</w:t>
      </w:r>
      <w:r w:rsidR="00FD731F">
        <w:rPr>
          <w:rStyle w:val="FootnoteReference"/>
          <w:rFonts w:ascii="Arial" w:hAnsi="Arial" w:cs="Arial"/>
          <w:sz w:val="24"/>
          <w:szCs w:val="24"/>
        </w:rPr>
        <w:footnoteReference w:id="7"/>
      </w:r>
      <w:r w:rsidR="0061432D">
        <w:rPr>
          <w:rFonts w:ascii="Arial" w:hAnsi="Arial" w:cs="Arial"/>
          <w:sz w:val="24"/>
          <w:szCs w:val="24"/>
        </w:rPr>
        <w:t xml:space="preserve"> </w:t>
      </w:r>
      <w:r w:rsidR="00BD66A6">
        <w:rPr>
          <w:rFonts w:ascii="Arial" w:hAnsi="Arial" w:cs="Arial"/>
          <w:sz w:val="24"/>
          <w:szCs w:val="24"/>
        </w:rPr>
        <w:t xml:space="preserve">Walker </w:t>
      </w:r>
      <w:r w:rsidR="000C6D50">
        <w:rPr>
          <w:rFonts w:ascii="Arial" w:hAnsi="Arial" w:cs="Arial"/>
          <w:sz w:val="24"/>
          <w:szCs w:val="24"/>
        </w:rPr>
        <w:t>suggests that ‘good enough’ parenting “is a term generally used to describe the minimum amount of care needed so as not to cause harm to a child”.</w:t>
      </w:r>
      <w:r w:rsidR="000C6D50">
        <w:rPr>
          <w:rStyle w:val="FootnoteReference"/>
          <w:rFonts w:ascii="Arial" w:hAnsi="Arial" w:cs="Arial"/>
          <w:sz w:val="24"/>
          <w:szCs w:val="24"/>
        </w:rPr>
        <w:footnoteReference w:id="8"/>
      </w:r>
      <w:r w:rsidR="000C6D50">
        <w:rPr>
          <w:rFonts w:ascii="Arial" w:hAnsi="Arial" w:cs="Arial"/>
          <w:sz w:val="24"/>
          <w:szCs w:val="24"/>
        </w:rPr>
        <w:t xml:space="preserve">  </w:t>
      </w:r>
    </w:p>
    <w:p w14:paraId="0958C230" w14:textId="5E32D0F4" w:rsidR="00AC0819" w:rsidRDefault="00AC0819" w:rsidP="00B045C6">
      <w:pPr>
        <w:rPr>
          <w:rFonts w:ascii="Arial" w:hAnsi="Arial" w:cs="Arial"/>
          <w:sz w:val="24"/>
          <w:szCs w:val="24"/>
        </w:rPr>
      </w:pPr>
      <w:r>
        <w:rPr>
          <w:rFonts w:ascii="Arial" w:hAnsi="Arial" w:cs="Arial"/>
          <w:sz w:val="24"/>
          <w:szCs w:val="24"/>
        </w:rPr>
        <w:t xml:space="preserve">Another </w:t>
      </w:r>
      <w:r w:rsidR="00326069">
        <w:rPr>
          <w:rFonts w:ascii="Arial" w:hAnsi="Arial" w:cs="Arial"/>
          <w:sz w:val="24"/>
          <w:szCs w:val="24"/>
        </w:rPr>
        <w:t xml:space="preserve">prominent </w:t>
      </w:r>
      <w:r w:rsidR="00DA597E">
        <w:rPr>
          <w:rFonts w:ascii="Arial" w:hAnsi="Arial" w:cs="Arial"/>
          <w:sz w:val="24"/>
          <w:szCs w:val="24"/>
        </w:rPr>
        <w:t xml:space="preserve">researcher and </w:t>
      </w:r>
      <w:r w:rsidR="005711FE">
        <w:rPr>
          <w:rFonts w:ascii="Arial" w:hAnsi="Arial" w:cs="Arial"/>
          <w:sz w:val="24"/>
          <w:szCs w:val="24"/>
        </w:rPr>
        <w:t>p</w:t>
      </w:r>
      <w:r w:rsidR="001E2467">
        <w:rPr>
          <w:rFonts w:ascii="Arial" w:hAnsi="Arial" w:cs="Arial"/>
          <w:sz w:val="24"/>
          <w:szCs w:val="24"/>
        </w:rPr>
        <w:t>sychologist</w:t>
      </w:r>
      <w:r w:rsidR="00DA597E">
        <w:rPr>
          <w:rFonts w:ascii="Arial" w:hAnsi="Arial" w:cs="Arial"/>
          <w:sz w:val="24"/>
          <w:szCs w:val="24"/>
        </w:rPr>
        <w:t xml:space="preserve"> in this field</w:t>
      </w:r>
      <w:r w:rsidR="00E455FF">
        <w:rPr>
          <w:rFonts w:ascii="Arial" w:hAnsi="Arial" w:cs="Arial"/>
          <w:sz w:val="24"/>
          <w:szCs w:val="24"/>
        </w:rPr>
        <w:t xml:space="preserve"> in the United States</w:t>
      </w:r>
      <w:r w:rsidR="00CF4E0C">
        <w:rPr>
          <w:rFonts w:ascii="Arial" w:hAnsi="Arial" w:cs="Arial"/>
          <w:sz w:val="24"/>
          <w:szCs w:val="24"/>
        </w:rPr>
        <w:t xml:space="preserve">, </w:t>
      </w:r>
      <w:r w:rsidR="00DA597E">
        <w:rPr>
          <w:rFonts w:ascii="Arial" w:hAnsi="Arial" w:cs="Arial"/>
          <w:sz w:val="24"/>
          <w:szCs w:val="24"/>
        </w:rPr>
        <w:t xml:space="preserve">Dr. </w:t>
      </w:r>
      <w:r w:rsidR="00CF4E0C">
        <w:rPr>
          <w:rFonts w:ascii="Arial" w:hAnsi="Arial" w:cs="Arial"/>
          <w:sz w:val="24"/>
          <w:szCs w:val="24"/>
        </w:rPr>
        <w:t xml:space="preserve">Karen Budd, </w:t>
      </w:r>
      <w:r w:rsidR="00043559">
        <w:rPr>
          <w:rFonts w:ascii="Arial" w:hAnsi="Arial" w:cs="Arial"/>
          <w:sz w:val="24"/>
          <w:szCs w:val="24"/>
        </w:rPr>
        <w:t xml:space="preserve">has </w:t>
      </w:r>
      <w:r w:rsidR="00E8187C">
        <w:rPr>
          <w:rFonts w:ascii="Arial" w:hAnsi="Arial" w:cs="Arial"/>
          <w:sz w:val="24"/>
          <w:szCs w:val="24"/>
        </w:rPr>
        <w:t>similarly</w:t>
      </w:r>
      <w:r w:rsidR="00043559">
        <w:rPr>
          <w:rFonts w:ascii="Arial" w:hAnsi="Arial" w:cs="Arial"/>
          <w:sz w:val="24"/>
          <w:szCs w:val="24"/>
        </w:rPr>
        <w:t xml:space="preserve"> underscored </w:t>
      </w:r>
      <w:r w:rsidR="002D6FA6">
        <w:rPr>
          <w:rFonts w:ascii="Arial" w:hAnsi="Arial" w:cs="Arial"/>
          <w:sz w:val="24"/>
          <w:szCs w:val="24"/>
        </w:rPr>
        <w:t xml:space="preserve">the assessment challenges that flow from the lack of </w:t>
      </w:r>
      <w:r w:rsidR="000D0C4B">
        <w:rPr>
          <w:rFonts w:ascii="Arial" w:hAnsi="Arial" w:cs="Arial"/>
          <w:sz w:val="24"/>
          <w:szCs w:val="24"/>
        </w:rPr>
        <w:t xml:space="preserve">universal models or standards of minimal parenting competence in </w:t>
      </w:r>
      <w:r w:rsidR="00D24F71">
        <w:rPr>
          <w:rFonts w:ascii="Arial" w:hAnsi="Arial" w:cs="Arial"/>
          <w:sz w:val="24"/>
          <w:szCs w:val="24"/>
        </w:rPr>
        <w:t xml:space="preserve">the fields of </w:t>
      </w:r>
      <w:r w:rsidR="00D24F71">
        <w:rPr>
          <w:rFonts w:ascii="Arial" w:hAnsi="Arial" w:cs="Arial"/>
          <w:sz w:val="24"/>
          <w:szCs w:val="24"/>
        </w:rPr>
        <w:lastRenderedPageBreak/>
        <w:t>child development</w:t>
      </w:r>
      <w:r w:rsidR="00206454">
        <w:rPr>
          <w:rFonts w:ascii="Arial" w:hAnsi="Arial" w:cs="Arial"/>
          <w:sz w:val="24"/>
          <w:szCs w:val="24"/>
        </w:rPr>
        <w:t>, psychology and law.</w:t>
      </w:r>
      <w:r w:rsidR="00206454">
        <w:rPr>
          <w:rStyle w:val="FootnoteReference"/>
          <w:rFonts w:ascii="Arial" w:hAnsi="Arial" w:cs="Arial"/>
          <w:sz w:val="24"/>
          <w:szCs w:val="24"/>
        </w:rPr>
        <w:footnoteReference w:id="9"/>
      </w:r>
      <w:r w:rsidR="00E8187C">
        <w:rPr>
          <w:rFonts w:ascii="Arial" w:hAnsi="Arial" w:cs="Arial"/>
          <w:sz w:val="24"/>
          <w:szCs w:val="24"/>
        </w:rPr>
        <w:t xml:space="preserve">  </w:t>
      </w:r>
      <w:r w:rsidR="00ED373B">
        <w:rPr>
          <w:rFonts w:ascii="Arial" w:hAnsi="Arial" w:cs="Arial"/>
          <w:sz w:val="24"/>
          <w:szCs w:val="24"/>
        </w:rPr>
        <w:t>She point</w:t>
      </w:r>
      <w:r w:rsidR="00D35F52">
        <w:rPr>
          <w:rFonts w:ascii="Arial" w:hAnsi="Arial" w:cs="Arial"/>
          <w:sz w:val="24"/>
          <w:szCs w:val="24"/>
        </w:rPr>
        <w:t>s</w:t>
      </w:r>
      <w:r w:rsidR="00ED373B">
        <w:rPr>
          <w:rFonts w:ascii="Arial" w:hAnsi="Arial" w:cs="Arial"/>
          <w:sz w:val="24"/>
          <w:szCs w:val="24"/>
        </w:rPr>
        <w:t xml:space="preserve"> out that guidelines that do exist </w:t>
      </w:r>
      <w:r w:rsidR="00100DB3">
        <w:rPr>
          <w:rFonts w:ascii="Arial" w:hAnsi="Arial" w:cs="Arial"/>
          <w:sz w:val="24"/>
          <w:szCs w:val="24"/>
        </w:rPr>
        <w:t xml:space="preserve">such as </w:t>
      </w:r>
      <w:r w:rsidR="009C15DE">
        <w:rPr>
          <w:rFonts w:ascii="Arial" w:hAnsi="Arial" w:cs="Arial"/>
          <w:sz w:val="24"/>
          <w:szCs w:val="24"/>
        </w:rPr>
        <w:t>those found in child welfare legal statutes, “lack behavioural</w:t>
      </w:r>
      <w:r w:rsidR="00242B32">
        <w:rPr>
          <w:rFonts w:ascii="Arial" w:hAnsi="Arial" w:cs="Arial"/>
          <w:sz w:val="24"/>
          <w:szCs w:val="24"/>
        </w:rPr>
        <w:t xml:space="preserve"> specificity and consistency across jurisdictions.”</w:t>
      </w:r>
      <w:r w:rsidR="00242B32">
        <w:rPr>
          <w:rStyle w:val="FootnoteReference"/>
          <w:rFonts w:ascii="Arial" w:hAnsi="Arial" w:cs="Arial"/>
          <w:sz w:val="24"/>
          <w:szCs w:val="24"/>
        </w:rPr>
        <w:footnoteReference w:id="10"/>
      </w:r>
      <w:r w:rsidR="00E77C12">
        <w:rPr>
          <w:rFonts w:ascii="Arial" w:hAnsi="Arial" w:cs="Arial"/>
          <w:sz w:val="24"/>
          <w:szCs w:val="24"/>
        </w:rPr>
        <w:t xml:space="preserve">  </w:t>
      </w:r>
      <w:r w:rsidR="007F3A43">
        <w:rPr>
          <w:rFonts w:ascii="Arial" w:hAnsi="Arial" w:cs="Arial"/>
          <w:sz w:val="24"/>
          <w:szCs w:val="24"/>
        </w:rPr>
        <w:t xml:space="preserve">Budd suggests that </w:t>
      </w:r>
      <w:r w:rsidR="00FA6054">
        <w:rPr>
          <w:rFonts w:ascii="Arial" w:hAnsi="Arial" w:cs="Arial"/>
          <w:sz w:val="24"/>
          <w:szCs w:val="24"/>
        </w:rPr>
        <w:t xml:space="preserve">a good clinical practice model for parenting capacity assessments </w:t>
      </w:r>
      <w:r w:rsidR="00C07FE2">
        <w:rPr>
          <w:rFonts w:ascii="Arial" w:hAnsi="Arial" w:cs="Arial"/>
          <w:sz w:val="24"/>
          <w:szCs w:val="24"/>
        </w:rPr>
        <w:t xml:space="preserve">should not focus on optimal or middle-class </w:t>
      </w:r>
      <w:r w:rsidR="00A56165">
        <w:rPr>
          <w:rFonts w:ascii="Arial" w:hAnsi="Arial" w:cs="Arial"/>
          <w:sz w:val="24"/>
          <w:szCs w:val="24"/>
        </w:rPr>
        <w:t xml:space="preserve">parenting </w:t>
      </w:r>
      <w:r w:rsidR="00C07FE2">
        <w:rPr>
          <w:rFonts w:ascii="Arial" w:hAnsi="Arial" w:cs="Arial"/>
          <w:sz w:val="24"/>
          <w:szCs w:val="24"/>
        </w:rPr>
        <w:t>standards but</w:t>
      </w:r>
      <w:r w:rsidR="00164348">
        <w:rPr>
          <w:rFonts w:ascii="Arial" w:hAnsi="Arial" w:cs="Arial"/>
          <w:sz w:val="24"/>
          <w:szCs w:val="24"/>
        </w:rPr>
        <w:t xml:space="preserve"> instead, should </w:t>
      </w:r>
      <w:r w:rsidR="00FA6054">
        <w:rPr>
          <w:rFonts w:ascii="Arial" w:hAnsi="Arial" w:cs="Arial"/>
          <w:sz w:val="24"/>
          <w:szCs w:val="24"/>
        </w:rPr>
        <w:t xml:space="preserve">include </w:t>
      </w:r>
      <w:r w:rsidR="008844D5">
        <w:rPr>
          <w:rFonts w:ascii="Arial" w:hAnsi="Arial" w:cs="Arial"/>
          <w:sz w:val="24"/>
          <w:szCs w:val="24"/>
        </w:rPr>
        <w:t xml:space="preserve">a </w:t>
      </w:r>
      <w:r w:rsidR="008844D5" w:rsidRPr="000D6839">
        <w:rPr>
          <w:rFonts w:ascii="Arial" w:hAnsi="Arial" w:cs="Arial"/>
          <w:sz w:val="24"/>
          <w:szCs w:val="24"/>
        </w:rPr>
        <w:t>consideration in each case</w:t>
      </w:r>
      <w:r w:rsidR="0051632C">
        <w:rPr>
          <w:rFonts w:ascii="Arial" w:hAnsi="Arial" w:cs="Arial"/>
          <w:sz w:val="24"/>
          <w:szCs w:val="24"/>
        </w:rPr>
        <w:t xml:space="preserve"> of the “lowest threshold of parenting skills necessary to protect a child’s</w:t>
      </w:r>
      <w:r w:rsidR="00740C55">
        <w:rPr>
          <w:rFonts w:ascii="Arial" w:hAnsi="Arial" w:cs="Arial"/>
          <w:sz w:val="24"/>
          <w:szCs w:val="24"/>
        </w:rPr>
        <w:t xml:space="preserve"> welfare, given the risks and protective factors present in the family</w:t>
      </w:r>
      <w:r w:rsidR="00684658">
        <w:rPr>
          <w:rFonts w:ascii="Arial" w:hAnsi="Arial" w:cs="Arial"/>
          <w:sz w:val="24"/>
          <w:szCs w:val="24"/>
        </w:rPr>
        <w:t>.”</w:t>
      </w:r>
      <w:r w:rsidR="00180F8A">
        <w:rPr>
          <w:rStyle w:val="FootnoteReference"/>
          <w:rFonts w:ascii="Arial" w:hAnsi="Arial" w:cs="Arial"/>
          <w:sz w:val="24"/>
          <w:szCs w:val="24"/>
        </w:rPr>
        <w:footnoteReference w:id="11"/>
      </w:r>
      <w:r w:rsidR="00180F8A">
        <w:rPr>
          <w:rFonts w:ascii="Arial" w:hAnsi="Arial" w:cs="Arial"/>
          <w:sz w:val="24"/>
          <w:szCs w:val="24"/>
        </w:rPr>
        <w:t xml:space="preserve">  </w:t>
      </w:r>
      <w:r w:rsidR="00FB5C48">
        <w:rPr>
          <w:rFonts w:ascii="Arial" w:hAnsi="Arial" w:cs="Arial"/>
          <w:sz w:val="24"/>
          <w:szCs w:val="24"/>
        </w:rPr>
        <w:t xml:space="preserve">She illustrates this point </w:t>
      </w:r>
      <w:r w:rsidR="009C5642">
        <w:rPr>
          <w:rFonts w:ascii="Arial" w:hAnsi="Arial" w:cs="Arial"/>
          <w:sz w:val="24"/>
          <w:szCs w:val="24"/>
        </w:rPr>
        <w:t>as follows</w:t>
      </w:r>
      <w:r w:rsidR="00FB5C48">
        <w:rPr>
          <w:rFonts w:ascii="Arial" w:hAnsi="Arial" w:cs="Arial"/>
          <w:sz w:val="24"/>
          <w:szCs w:val="24"/>
        </w:rPr>
        <w:t>:</w:t>
      </w:r>
    </w:p>
    <w:p w14:paraId="23D9E3BC" w14:textId="1024E0D7" w:rsidR="00FB5C48" w:rsidRDefault="00D86579" w:rsidP="00FB5C48">
      <w:pPr>
        <w:ind w:left="720"/>
        <w:rPr>
          <w:rFonts w:ascii="Arial" w:hAnsi="Arial" w:cs="Arial"/>
          <w:sz w:val="24"/>
          <w:szCs w:val="24"/>
        </w:rPr>
      </w:pPr>
      <w:r>
        <w:rPr>
          <w:rFonts w:ascii="Arial" w:hAnsi="Arial" w:cs="Arial"/>
          <w:sz w:val="24"/>
          <w:szCs w:val="24"/>
        </w:rPr>
        <w:t>For example, maternal conditions such as low intellectual functioning or mental illness</w:t>
      </w:r>
      <w:r w:rsidR="00585190">
        <w:rPr>
          <w:rFonts w:ascii="Arial" w:hAnsi="Arial" w:cs="Arial"/>
          <w:sz w:val="24"/>
          <w:szCs w:val="24"/>
        </w:rPr>
        <w:t xml:space="preserve"> pose clear risks to parenting and child safety, yet these risks may be tempered by factors such as the child’s age</w:t>
      </w:r>
      <w:r w:rsidR="00190E6E">
        <w:rPr>
          <w:rFonts w:ascii="Arial" w:hAnsi="Arial" w:cs="Arial"/>
          <w:sz w:val="24"/>
          <w:szCs w:val="24"/>
        </w:rPr>
        <w:t xml:space="preserve"> and functioning, a supportive family network, the mother’s recognition of her limitations, and her participation in intervention services.</w:t>
      </w:r>
      <w:r w:rsidR="007734DC">
        <w:rPr>
          <w:rStyle w:val="FootnoteReference"/>
          <w:rFonts w:ascii="Arial" w:hAnsi="Arial" w:cs="Arial"/>
          <w:sz w:val="24"/>
          <w:szCs w:val="24"/>
        </w:rPr>
        <w:footnoteReference w:id="12"/>
      </w:r>
    </w:p>
    <w:p w14:paraId="789F20CC" w14:textId="56A57072" w:rsidR="008725A1" w:rsidRPr="007257A3" w:rsidRDefault="008725A1" w:rsidP="00F615F2">
      <w:pPr>
        <w:rPr>
          <w:rFonts w:ascii="Arial" w:hAnsi="Arial" w:cs="Arial"/>
          <w:b/>
          <w:bCs/>
          <w:sz w:val="24"/>
          <w:szCs w:val="24"/>
        </w:rPr>
      </w:pPr>
      <w:r w:rsidRPr="007257A3">
        <w:rPr>
          <w:rFonts w:ascii="Arial" w:hAnsi="Arial" w:cs="Arial"/>
          <w:b/>
          <w:bCs/>
          <w:sz w:val="24"/>
          <w:szCs w:val="24"/>
        </w:rPr>
        <w:t>Parenting Capacity Assessments v</w:t>
      </w:r>
      <w:r w:rsidR="00343C69" w:rsidRPr="007257A3">
        <w:rPr>
          <w:rFonts w:ascii="Arial" w:hAnsi="Arial" w:cs="Arial"/>
          <w:b/>
          <w:bCs/>
          <w:sz w:val="24"/>
          <w:szCs w:val="24"/>
        </w:rPr>
        <w:t xml:space="preserve">ersus </w:t>
      </w:r>
      <w:r w:rsidR="00280539" w:rsidRPr="007257A3">
        <w:rPr>
          <w:rFonts w:ascii="Arial" w:hAnsi="Arial" w:cs="Arial"/>
          <w:b/>
          <w:bCs/>
          <w:sz w:val="24"/>
          <w:szCs w:val="24"/>
        </w:rPr>
        <w:t xml:space="preserve">Other </w:t>
      </w:r>
      <w:r w:rsidR="00060F35" w:rsidRPr="007257A3">
        <w:rPr>
          <w:rFonts w:ascii="Arial" w:hAnsi="Arial" w:cs="Arial"/>
          <w:b/>
          <w:bCs/>
          <w:sz w:val="24"/>
          <w:szCs w:val="24"/>
        </w:rPr>
        <w:t xml:space="preserve">Types of </w:t>
      </w:r>
      <w:r w:rsidR="00280539" w:rsidRPr="007257A3">
        <w:rPr>
          <w:rFonts w:ascii="Arial" w:hAnsi="Arial" w:cs="Arial"/>
          <w:b/>
          <w:bCs/>
          <w:sz w:val="24"/>
          <w:szCs w:val="24"/>
        </w:rPr>
        <w:t>Assessment</w:t>
      </w:r>
    </w:p>
    <w:p w14:paraId="4475AEF9" w14:textId="07B895A3" w:rsidR="009A0A30" w:rsidRDefault="0088527B" w:rsidP="00F615F2">
      <w:pPr>
        <w:rPr>
          <w:rFonts w:ascii="Arial" w:hAnsi="Arial" w:cs="Arial"/>
          <w:sz w:val="24"/>
          <w:szCs w:val="24"/>
        </w:rPr>
      </w:pPr>
      <w:r>
        <w:rPr>
          <w:rFonts w:ascii="Arial" w:hAnsi="Arial" w:cs="Arial"/>
          <w:sz w:val="24"/>
          <w:szCs w:val="24"/>
        </w:rPr>
        <w:t>Where there are clinical issues present</w:t>
      </w:r>
      <w:r w:rsidR="00F72162">
        <w:rPr>
          <w:rFonts w:ascii="Arial" w:hAnsi="Arial" w:cs="Arial"/>
          <w:sz w:val="24"/>
          <w:szCs w:val="24"/>
        </w:rPr>
        <w:t xml:space="preserve"> in a family</w:t>
      </w:r>
      <w:r>
        <w:rPr>
          <w:rFonts w:ascii="Arial" w:hAnsi="Arial" w:cs="Arial"/>
          <w:sz w:val="24"/>
          <w:szCs w:val="24"/>
        </w:rPr>
        <w:t xml:space="preserve">, the necessary </w:t>
      </w:r>
      <w:r w:rsidR="00115C56">
        <w:rPr>
          <w:rFonts w:ascii="Arial" w:hAnsi="Arial" w:cs="Arial"/>
          <w:sz w:val="24"/>
          <w:szCs w:val="24"/>
        </w:rPr>
        <w:t xml:space="preserve">opinion </w:t>
      </w:r>
      <w:r>
        <w:rPr>
          <w:rFonts w:ascii="Arial" w:hAnsi="Arial" w:cs="Arial"/>
          <w:sz w:val="24"/>
          <w:szCs w:val="24"/>
        </w:rPr>
        <w:t xml:space="preserve">evidence </w:t>
      </w:r>
      <w:r w:rsidR="007D5556">
        <w:rPr>
          <w:rFonts w:ascii="Arial" w:hAnsi="Arial" w:cs="Arial"/>
          <w:sz w:val="24"/>
          <w:szCs w:val="24"/>
        </w:rPr>
        <w:t xml:space="preserve">related to the </w:t>
      </w:r>
      <w:r w:rsidR="00096FFA">
        <w:rPr>
          <w:rFonts w:ascii="Arial" w:hAnsi="Arial" w:cs="Arial"/>
          <w:sz w:val="24"/>
          <w:szCs w:val="24"/>
        </w:rPr>
        <w:t xml:space="preserve">mental health </w:t>
      </w:r>
      <w:r w:rsidR="00F64ECB">
        <w:rPr>
          <w:rFonts w:ascii="Arial" w:hAnsi="Arial" w:cs="Arial"/>
          <w:sz w:val="24"/>
          <w:szCs w:val="24"/>
        </w:rPr>
        <w:t xml:space="preserve">or functional capacity of the </w:t>
      </w:r>
      <w:r w:rsidR="007D5556">
        <w:rPr>
          <w:rFonts w:ascii="Arial" w:hAnsi="Arial" w:cs="Arial"/>
          <w:sz w:val="24"/>
          <w:szCs w:val="24"/>
        </w:rPr>
        <w:t xml:space="preserve">parent </w:t>
      </w:r>
      <w:r>
        <w:rPr>
          <w:rFonts w:ascii="Arial" w:hAnsi="Arial" w:cs="Arial"/>
          <w:sz w:val="24"/>
          <w:szCs w:val="24"/>
        </w:rPr>
        <w:t>can often b</w:t>
      </w:r>
      <w:r w:rsidR="00794012">
        <w:rPr>
          <w:rFonts w:ascii="Arial" w:hAnsi="Arial" w:cs="Arial"/>
          <w:sz w:val="24"/>
          <w:szCs w:val="24"/>
        </w:rPr>
        <w:t>e</w:t>
      </w:r>
      <w:r>
        <w:rPr>
          <w:rFonts w:ascii="Arial" w:hAnsi="Arial" w:cs="Arial"/>
          <w:sz w:val="24"/>
          <w:szCs w:val="24"/>
        </w:rPr>
        <w:t xml:space="preserve"> </w:t>
      </w:r>
      <w:r w:rsidR="00403634">
        <w:rPr>
          <w:rFonts w:ascii="Arial" w:hAnsi="Arial" w:cs="Arial"/>
          <w:sz w:val="24"/>
          <w:szCs w:val="24"/>
        </w:rPr>
        <w:t xml:space="preserve">produced </w:t>
      </w:r>
      <w:r w:rsidR="004F4E05">
        <w:rPr>
          <w:rFonts w:ascii="Arial" w:hAnsi="Arial" w:cs="Arial"/>
          <w:sz w:val="24"/>
          <w:szCs w:val="24"/>
        </w:rPr>
        <w:t>in a focused</w:t>
      </w:r>
      <w:r w:rsidR="00277219">
        <w:rPr>
          <w:rFonts w:ascii="Arial" w:hAnsi="Arial" w:cs="Arial"/>
          <w:sz w:val="24"/>
          <w:szCs w:val="24"/>
        </w:rPr>
        <w:t xml:space="preserve"> </w:t>
      </w:r>
      <w:r w:rsidR="004F4E05">
        <w:rPr>
          <w:rFonts w:ascii="Arial" w:hAnsi="Arial" w:cs="Arial"/>
          <w:sz w:val="24"/>
          <w:szCs w:val="24"/>
        </w:rPr>
        <w:t xml:space="preserve">manner </w:t>
      </w:r>
      <w:r w:rsidR="00403634">
        <w:rPr>
          <w:rFonts w:ascii="Arial" w:hAnsi="Arial" w:cs="Arial"/>
          <w:sz w:val="24"/>
          <w:szCs w:val="24"/>
        </w:rPr>
        <w:t>through a psychological or psychiat</w:t>
      </w:r>
      <w:r w:rsidR="00A92D82">
        <w:rPr>
          <w:rFonts w:ascii="Arial" w:hAnsi="Arial" w:cs="Arial"/>
          <w:sz w:val="24"/>
          <w:szCs w:val="24"/>
        </w:rPr>
        <w:t>ric assessment</w:t>
      </w:r>
      <w:r w:rsidR="006B2465">
        <w:rPr>
          <w:rFonts w:ascii="Arial" w:hAnsi="Arial" w:cs="Arial"/>
          <w:sz w:val="24"/>
          <w:szCs w:val="24"/>
        </w:rPr>
        <w:t xml:space="preserve">.  </w:t>
      </w:r>
      <w:r w:rsidR="00052B96">
        <w:rPr>
          <w:rFonts w:ascii="Arial" w:hAnsi="Arial" w:cs="Arial"/>
          <w:sz w:val="24"/>
          <w:szCs w:val="24"/>
        </w:rPr>
        <w:t xml:space="preserve">It is important to understand the differences between the </w:t>
      </w:r>
      <w:r w:rsidR="00F03DB5">
        <w:rPr>
          <w:rFonts w:ascii="Arial" w:hAnsi="Arial" w:cs="Arial"/>
          <w:sz w:val="24"/>
          <w:szCs w:val="24"/>
        </w:rPr>
        <w:t xml:space="preserve">fields of psychology and psychiatry.  </w:t>
      </w:r>
      <w:r w:rsidR="007E3F26">
        <w:rPr>
          <w:rFonts w:ascii="Arial" w:hAnsi="Arial" w:cs="Arial"/>
          <w:sz w:val="24"/>
          <w:szCs w:val="24"/>
        </w:rPr>
        <w:t xml:space="preserve">While </w:t>
      </w:r>
      <w:r w:rsidR="00BB1C99">
        <w:rPr>
          <w:rFonts w:ascii="Arial" w:hAnsi="Arial" w:cs="Arial"/>
          <w:sz w:val="24"/>
          <w:szCs w:val="24"/>
        </w:rPr>
        <w:t xml:space="preserve">both psychologists and psychiatrists, depending on their training, can diagnose a range of </w:t>
      </w:r>
      <w:r w:rsidR="003A6089">
        <w:rPr>
          <w:rFonts w:ascii="Arial" w:hAnsi="Arial" w:cs="Arial"/>
          <w:sz w:val="24"/>
          <w:szCs w:val="24"/>
        </w:rPr>
        <w:t xml:space="preserve">mental health conditions, </w:t>
      </w:r>
      <w:r w:rsidR="00505667">
        <w:rPr>
          <w:rFonts w:ascii="Arial" w:hAnsi="Arial" w:cs="Arial"/>
          <w:sz w:val="24"/>
          <w:szCs w:val="24"/>
        </w:rPr>
        <w:t xml:space="preserve">generally </w:t>
      </w:r>
      <w:r w:rsidR="003A6089">
        <w:rPr>
          <w:rFonts w:ascii="Arial" w:hAnsi="Arial" w:cs="Arial"/>
          <w:sz w:val="24"/>
          <w:szCs w:val="24"/>
        </w:rPr>
        <w:t xml:space="preserve">only psychologists can conduct psychoeducational </w:t>
      </w:r>
      <w:r w:rsidR="00135BE1">
        <w:rPr>
          <w:rFonts w:ascii="Arial" w:hAnsi="Arial" w:cs="Arial"/>
          <w:sz w:val="24"/>
          <w:szCs w:val="24"/>
        </w:rPr>
        <w:t xml:space="preserve">assessments to identify </w:t>
      </w:r>
      <w:r w:rsidR="00902AE8">
        <w:rPr>
          <w:rFonts w:ascii="Arial" w:hAnsi="Arial" w:cs="Arial"/>
          <w:sz w:val="24"/>
          <w:szCs w:val="24"/>
        </w:rPr>
        <w:t>learning disorders and intellectua</w:t>
      </w:r>
      <w:r w:rsidR="00D33C34">
        <w:rPr>
          <w:rFonts w:ascii="Arial" w:hAnsi="Arial" w:cs="Arial"/>
          <w:sz w:val="24"/>
          <w:szCs w:val="24"/>
        </w:rPr>
        <w:t>l disabilities</w:t>
      </w:r>
      <w:r w:rsidR="00505667">
        <w:rPr>
          <w:rFonts w:ascii="Arial" w:hAnsi="Arial" w:cs="Arial"/>
          <w:sz w:val="24"/>
          <w:szCs w:val="24"/>
        </w:rPr>
        <w:t xml:space="preserve">.  Psychologists are not able to prescribe or monitor </w:t>
      </w:r>
      <w:proofErr w:type="gramStart"/>
      <w:r w:rsidR="00505667">
        <w:rPr>
          <w:rFonts w:ascii="Arial" w:hAnsi="Arial" w:cs="Arial"/>
          <w:sz w:val="24"/>
          <w:szCs w:val="24"/>
        </w:rPr>
        <w:t>medications;  o</w:t>
      </w:r>
      <w:r w:rsidR="00D33C34">
        <w:rPr>
          <w:rFonts w:ascii="Arial" w:hAnsi="Arial" w:cs="Arial"/>
          <w:sz w:val="24"/>
          <w:szCs w:val="24"/>
        </w:rPr>
        <w:t>nly</w:t>
      </w:r>
      <w:proofErr w:type="gramEnd"/>
      <w:r w:rsidR="00D33C34">
        <w:rPr>
          <w:rFonts w:ascii="Arial" w:hAnsi="Arial" w:cs="Arial"/>
          <w:sz w:val="24"/>
          <w:szCs w:val="24"/>
        </w:rPr>
        <w:t xml:space="preserve"> psychiatrists can prescribe medications as a form of treatment.  </w:t>
      </w:r>
    </w:p>
    <w:p w14:paraId="6E7EF357" w14:textId="14B0641A" w:rsidR="00F23EE3" w:rsidRDefault="00F03DB5" w:rsidP="00F615F2">
      <w:pPr>
        <w:rPr>
          <w:rFonts w:ascii="Arial" w:hAnsi="Arial" w:cs="Arial"/>
          <w:sz w:val="24"/>
          <w:szCs w:val="24"/>
        </w:rPr>
      </w:pPr>
      <w:r>
        <w:rPr>
          <w:rFonts w:ascii="Arial" w:hAnsi="Arial" w:cs="Arial"/>
          <w:sz w:val="24"/>
          <w:szCs w:val="24"/>
        </w:rPr>
        <w:t>I</w:t>
      </w:r>
      <w:r w:rsidR="00D1620D">
        <w:rPr>
          <w:rFonts w:ascii="Arial" w:hAnsi="Arial" w:cs="Arial"/>
          <w:sz w:val="24"/>
          <w:szCs w:val="24"/>
        </w:rPr>
        <w:t xml:space="preserve">n a case where the parent appears to be suffering from mental health issues, the following questions might be appropriate for </w:t>
      </w:r>
      <w:r w:rsidR="00F23EE3">
        <w:rPr>
          <w:rFonts w:ascii="Arial" w:hAnsi="Arial" w:cs="Arial"/>
          <w:sz w:val="24"/>
          <w:szCs w:val="24"/>
        </w:rPr>
        <w:t xml:space="preserve">a general </w:t>
      </w:r>
      <w:r w:rsidR="00D25398">
        <w:rPr>
          <w:rFonts w:ascii="Arial" w:hAnsi="Arial" w:cs="Arial"/>
          <w:sz w:val="24"/>
          <w:szCs w:val="24"/>
        </w:rPr>
        <w:t xml:space="preserve">clinical </w:t>
      </w:r>
      <w:r w:rsidR="00F23EE3">
        <w:rPr>
          <w:rFonts w:ascii="Arial" w:hAnsi="Arial" w:cs="Arial"/>
          <w:sz w:val="24"/>
          <w:szCs w:val="24"/>
        </w:rPr>
        <w:t>assessment of the parent by a psychiatrist:</w:t>
      </w:r>
    </w:p>
    <w:p w14:paraId="6E2FBCE9" w14:textId="3AE5BDAB" w:rsidR="00F23EE3" w:rsidRDefault="00F23EE3" w:rsidP="0088050D">
      <w:pPr>
        <w:pStyle w:val="ListParagraph"/>
        <w:numPr>
          <w:ilvl w:val="0"/>
          <w:numId w:val="5"/>
        </w:numPr>
        <w:spacing w:after="0"/>
        <w:ind w:left="426" w:hanging="77"/>
        <w:rPr>
          <w:rFonts w:ascii="Arial" w:hAnsi="Arial" w:cs="Arial"/>
          <w:sz w:val="24"/>
          <w:szCs w:val="24"/>
        </w:rPr>
      </w:pPr>
      <w:r>
        <w:rPr>
          <w:rFonts w:ascii="Arial" w:hAnsi="Arial" w:cs="Arial"/>
          <w:sz w:val="24"/>
          <w:szCs w:val="24"/>
        </w:rPr>
        <w:t>What is the parent’s diagnosis?</w:t>
      </w:r>
    </w:p>
    <w:p w14:paraId="1AAA18D9" w14:textId="77777777" w:rsidR="0088050D" w:rsidRDefault="0088050D" w:rsidP="0088050D">
      <w:pPr>
        <w:pStyle w:val="ListParagraph"/>
        <w:spacing w:after="0"/>
        <w:ind w:left="426"/>
        <w:rPr>
          <w:rFonts w:ascii="Arial" w:hAnsi="Arial" w:cs="Arial"/>
          <w:sz w:val="24"/>
          <w:szCs w:val="24"/>
        </w:rPr>
      </w:pPr>
    </w:p>
    <w:p w14:paraId="1C0586B0" w14:textId="0A87FA80" w:rsidR="00F23EE3" w:rsidRDefault="00F23EE3" w:rsidP="0088050D">
      <w:pPr>
        <w:pStyle w:val="ListParagraph"/>
        <w:numPr>
          <w:ilvl w:val="0"/>
          <w:numId w:val="5"/>
        </w:numPr>
        <w:spacing w:after="0"/>
        <w:ind w:left="709"/>
        <w:rPr>
          <w:rFonts w:ascii="Arial" w:hAnsi="Arial" w:cs="Arial"/>
          <w:sz w:val="24"/>
          <w:szCs w:val="24"/>
        </w:rPr>
      </w:pPr>
      <w:r>
        <w:rPr>
          <w:rFonts w:ascii="Arial" w:hAnsi="Arial" w:cs="Arial"/>
          <w:sz w:val="24"/>
          <w:szCs w:val="24"/>
        </w:rPr>
        <w:t xml:space="preserve">What are the </w:t>
      </w:r>
      <w:r w:rsidRPr="00AC4218">
        <w:rPr>
          <w:rFonts w:ascii="Arial" w:hAnsi="Arial" w:cs="Arial"/>
          <w:sz w:val="24"/>
          <w:szCs w:val="24"/>
        </w:rPr>
        <w:t>treatment recommendations for th</w:t>
      </w:r>
      <w:r>
        <w:rPr>
          <w:rFonts w:ascii="Arial" w:hAnsi="Arial" w:cs="Arial"/>
          <w:sz w:val="24"/>
          <w:szCs w:val="24"/>
        </w:rPr>
        <w:t>is</w:t>
      </w:r>
      <w:r w:rsidRPr="00AC4218">
        <w:rPr>
          <w:rFonts w:ascii="Arial" w:hAnsi="Arial" w:cs="Arial"/>
          <w:sz w:val="24"/>
          <w:szCs w:val="24"/>
        </w:rPr>
        <w:t xml:space="preserve"> disorder</w:t>
      </w:r>
      <w:r>
        <w:rPr>
          <w:rFonts w:ascii="Arial" w:hAnsi="Arial" w:cs="Arial"/>
          <w:sz w:val="24"/>
          <w:szCs w:val="24"/>
        </w:rPr>
        <w:t>?</w:t>
      </w:r>
    </w:p>
    <w:p w14:paraId="1DA1C6C9" w14:textId="77777777" w:rsidR="0088050D" w:rsidRDefault="0088050D" w:rsidP="0088050D">
      <w:pPr>
        <w:pStyle w:val="ListParagraph"/>
        <w:spacing w:after="0"/>
        <w:ind w:left="709"/>
        <w:rPr>
          <w:rFonts w:ascii="Arial" w:hAnsi="Arial" w:cs="Arial"/>
          <w:sz w:val="24"/>
          <w:szCs w:val="24"/>
        </w:rPr>
      </w:pPr>
    </w:p>
    <w:p w14:paraId="54986357" w14:textId="6253CF08" w:rsidR="00F23EE3" w:rsidRDefault="00F23EE3" w:rsidP="0088050D">
      <w:pPr>
        <w:pStyle w:val="ListParagraph"/>
        <w:numPr>
          <w:ilvl w:val="0"/>
          <w:numId w:val="5"/>
        </w:numPr>
        <w:spacing w:after="0"/>
        <w:ind w:left="709"/>
        <w:rPr>
          <w:rFonts w:ascii="Arial" w:hAnsi="Arial" w:cs="Arial"/>
          <w:sz w:val="24"/>
          <w:szCs w:val="24"/>
        </w:rPr>
      </w:pPr>
      <w:r>
        <w:rPr>
          <w:rFonts w:ascii="Arial" w:hAnsi="Arial" w:cs="Arial"/>
          <w:sz w:val="24"/>
          <w:szCs w:val="24"/>
        </w:rPr>
        <w:t xml:space="preserve">What is the </w:t>
      </w:r>
      <w:r w:rsidRPr="0099080F">
        <w:rPr>
          <w:rFonts w:ascii="Arial" w:hAnsi="Arial" w:cs="Arial"/>
          <w:sz w:val="24"/>
          <w:szCs w:val="24"/>
        </w:rPr>
        <w:t>responsiveness of th</w:t>
      </w:r>
      <w:r>
        <w:rPr>
          <w:rFonts w:ascii="Arial" w:hAnsi="Arial" w:cs="Arial"/>
          <w:sz w:val="24"/>
          <w:szCs w:val="24"/>
        </w:rPr>
        <w:t>is</w:t>
      </w:r>
      <w:r w:rsidRPr="0099080F">
        <w:rPr>
          <w:rFonts w:ascii="Arial" w:hAnsi="Arial" w:cs="Arial"/>
          <w:sz w:val="24"/>
          <w:szCs w:val="24"/>
        </w:rPr>
        <w:t xml:space="preserve"> </w:t>
      </w:r>
      <w:r>
        <w:rPr>
          <w:rFonts w:ascii="Arial" w:hAnsi="Arial" w:cs="Arial"/>
          <w:sz w:val="24"/>
          <w:szCs w:val="24"/>
        </w:rPr>
        <w:t>condition</w:t>
      </w:r>
      <w:r w:rsidRPr="0099080F">
        <w:rPr>
          <w:rFonts w:ascii="Arial" w:hAnsi="Arial" w:cs="Arial"/>
          <w:sz w:val="24"/>
          <w:szCs w:val="24"/>
        </w:rPr>
        <w:t xml:space="preserve"> to treatment both generally and with respect to th</w:t>
      </w:r>
      <w:r>
        <w:rPr>
          <w:rFonts w:ascii="Arial" w:hAnsi="Arial" w:cs="Arial"/>
          <w:sz w:val="24"/>
          <w:szCs w:val="24"/>
        </w:rPr>
        <w:t>e</w:t>
      </w:r>
      <w:r w:rsidRPr="0099080F">
        <w:rPr>
          <w:rFonts w:ascii="Arial" w:hAnsi="Arial" w:cs="Arial"/>
          <w:sz w:val="24"/>
          <w:szCs w:val="24"/>
        </w:rPr>
        <w:t xml:space="preserve"> specific individual</w:t>
      </w:r>
      <w:r>
        <w:rPr>
          <w:rFonts w:ascii="Arial" w:hAnsi="Arial" w:cs="Arial"/>
          <w:sz w:val="24"/>
          <w:szCs w:val="24"/>
        </w:rPr>
        <w:t xml:space="preserve"> before the court?</w:t>
      </w:r>
    </w:p>
    <w:p w14:paraId="443A40B8" w14:textId="77777777" w:rsidR="0088050D" w:rsidRDefault="0088050D" w:rsidP="0088050D">
      <w:pPr>
        <w:pStyle w:val="ListParagraph"/>
        <w:spacing w:after="0"/>
        <w:ind w:left="709"/>
        <w:rPr>
          <w:rFonts w:ascii="Arial" w:hAnsi="Arial" w:cs="Arial"/>
          <w:sz w:val="24"/>
          <w:szCs w:val="24"/>
        </w:rPr>
      </w:pPr>
    </w:p>
    <w:p w14:paraId="17CB585F" w14:textId="09D1B262" w:rsidR="00F23EE3" w:rsidRDefault="00F23EE3" w:rsidP="0088050D">
      <w:pPr>
        <w:pStyle w:val="ListParagraph"/>
        <w:numPr>
          <w:ilvl w:val="0"/>
          <w:numId w:val="5"/>
        </w:numPr>
        <w:spacing w:after="0"/>
        <w:ind w:left="709"/>
        <w:rPr>
          <w:rFonts w:ascii="Arial" w:hAnsi="Arial" w:cs="Arial"/>
          <w:sz w:val="24"/>
          <w:szCs w:val="24"/>
        </w:rPr>
      </w:pPr>
      <w:r>
        <w:rPr>
          <w:rFonts w:ascii="Arial" w:hAnsi="Arial" w:cs="Arial"/>
          <w:sz w:val="24"/>
          <w:szCs w:val="24"/>
        </w:rPr>
        <w:t xml:space="preserve">What is the usual </w:t>
      </w:r>
      <w:r w:rsidRPr="006E603B">
        <w:rPr>
          <w:rFonts w:ascii="Arial" w:hAnsi="Arial" w:cs="Arial"/>
          <w:sz w:val="24"/>
          <w:szCs w:val="24"/>
        </w:rPr>
        <w:t xml:space="preserve">length of treatment needed to </w:t>
      </w:r>
      <w:r>
        <w:rPr>
          <w:rFonts w:ascii="Arial" w:hAnsi="Arial" w:cs="Arial"/>
          <w:sz w:val="24"/>
          <w:szCs w:val="24"/>
        </w:rPr>
        <w:t>improve functioning in relation to this condition?</w:t>
      </w:r>
    </w:p>
    <w:p w14:paraId="4CB4FD6B" w14:textId="77777777" w:rsidR="0088050D" w:rsidRDefault="0088050D" w:rsidP="0088050D">
      <w:pPr>
        <w:pStyle w:val="ListParagraph"/>
        <w:spacing w:after="0"/>
        <w:ind w:left="709"/>
        <w:rPr>
          <w:rFonts w:ascii="Arial" w:hAnsi="Arial" w:cs="Arial"/>
          <w:sz w:val="24"/>
          <w:szCs w:val="24"/>
        </w:rPr>
      </w:pPr>
    </w:p>
    <w:p w14:paraId="6901B2FF" w14:textId="566AC4F7" w:rsidR="00F23EE3" w:rsidRDefault="00F23EE3" w:rsidP="0088050D">
      <w:pPr>
        <w:pStyle w:val="ListParagraph"/>
        <w:numPr>
          <w:ilvl w:val="0"/>
          <w:numId w:val="5"/>
        </w:numPr>
        <w:spacing w:after="0"/>
        <w:ind w:left="709"/>
        <w:rPr>
          <w:rFonts w:ascii="Arial" w:hAnsi="Arial" w:cs="Arial"/>
          <w:sz w:val="24"/>
          <w:szCs w:val="24"/>
        </w:rPr>
      </w:pPr>
      <w:r>
        <w:rPr>
          <w:rFonts w:ascii="Arial" w:hAnsi="Arial" w:cs="Arial"/>
          <w:sz w:val="24"/>
          <w:szCs w:val="24"/>
        </w:rPr>
        <w:lastRenderedPageBreak/>
        <w:t xml:space="preserve">What is the </w:t>
      </w:r>
      <w:r w:rsidRPr="00B91168">
        <w:rPr>
          <w:rFonts w:ascii="Arial" w:hAnsi="Arial" w:cs="Arial"/>
          <w:sz w:val="24"/>
          <w:szCs w:val="24"/>
        </w:rPr>
        <w:t>likelihood of success of treatment for th</w:t>
      </w:r>
      <w:r w:rsidR="00055AB1">
        <w:rPr>
          <w:rFonts w:ascii="Arial" w:hAnsi="Arial" w:cs="Arial"/>
          <w:sz w:val="24"/>
          <w:szCs w:val="24"/>
        </w:rPr>
        <w:t xml:space="preserve">is person </w:t>
      </w:r>
      <w:r>
        <w:rPr>
          <w:rFonts w:ascii="Arial" w:hAnsi="Arial" w:cs="Arial"/>
          <w:sz w:val="24"/>
          <w:szCs w:val="24"/>
        </w:rPr>
        <w:t>and what would treatment success look like in terms of the person’s general functioning?</w:t>
      </w:r>
    </w:p>
    <w:p w14:paraId="5913226D" w14:textId="77777777" w:rsidR="0088050D" w:rsidRDefault="0088050D" w:rsidP="0088050D">
      <w:pPr>
        <w:pStyle w:val="ListParagraph"/>
        <w:spacing w:after="0"/>
        <w:ind w:left="709"/>
        <w:rPr>
          <w:rFonts w:ascii="Arial" w:hAnsi="Arial" w:cs="Arial"/>
          <w:sz w:val="24"/>
          <w:szCs w:val="24"/>
        </w:rPr>
      </w:pPr>
    </w:p>
    <w:p w14:paraId="138B17D2" w14:textId="4E1CA29D" w:rsidR="00F23EE3" w:rsidRDefault="00F23EE3" w:rsidP="0088050D">
      <w:pPr>
        <w:pStyle w:val="ListParagraph"/>
        <w:numPr>
          <w:ilvl w:val="0"/>
          <w:numId w:val="5"/>
        </w:numPr>
        <w:spacing w:after="0"/>
        <w:ind w:left="709"/>
        <w:rPr>
          <w:rFonts w:ascii="Arial" w:hAnsi="Arial" w:cs="Arial"/>
          <w:sz w:val="24"/>
          <w:szCs w:val="24"/>
        </w:rPr>
      </w:pPr>
      <w:r>
        <w:rPr>
          <w:rFonts w:ascii="Arial" w:hAnsi="Arial" w:cs="Arial"/>
          <w:sz w:val="24"/>
          <w:szCs w:val="24"/>
        </w:rPr>
        <w:t xml:space="preserve">Does this person have </w:t>
      </w:r>
      <w:r w:rsidRPr="001805A7">
        <w:rPr>
          <w:rFonts w:ascii="Arial" w:hAnsi="Arial" w:cs="Arial"/>
          <w:sz w:val="24"/>
          <w:szCs w:val="24"/>
        </w:rPr>
        <w:t xml:space="preserve">insight </w:t>
      </w:r>
      <w:r>
        <w:rPr>
          <w:rFonts w:ascii="Arial" w:hAnsi="Arial" w:cs="Arial"/>
          <w:sz w:val="24"/>
          <w:szCs w:val="24"/>
        </w:rPr>
        <w:t xml:space="preserve">into </w:t>
      </w:r>
      <w:r w:rsidR="0036234B">
        <w:rPr>
          <w:rFonts w:ascii="Arial" w:hAnsi="Arial" w:cs="Arial"/>
          <w:sz w:val="24"/>
          <w:szCs w:val="24"/>
        </w:rPr>
        <w:t>their mental health</w:t>
      </w:r>
      <w:r>
        <w:rPr>
          <w:rFonts w:ascii="Arial" w:hAnsi="Arial" w:cs="Arial"/>
          <w:sz w:val="24"/>
          <w:szCs w:val="24"/>
        </w:rPr>
        <w:t xml:space="preserve"> condition?  </w:t>
      </w:r>
    </w:p>
    <w:p w14:paraId="3B9733E8" w14:textId="77777777" w:rsidR="0088050D" w:rsidRDefault="0088050D" w:rsidP="0088050D">
      <w:pPr>
        <w:pStyle w:val="ListParagraph"/>
        <w:spacing w:after="0"/>
        <w:ind w:left="709"/>
        <w:rPr>
          <w:rFonts w:ascii="Arial" w:hAnsi="Arial" w:cs="Arial"/>
          <w:sz w:val="24"/>
          <w:szCs w:val="24"/>
        </w:rPr>
      </w:pPr>
    </w:p>
    <w:p w14:paraId="1E51959F" w14:textId="77777777" w:rsidR="0088050D" w:rsidRDefault="00F23EE3" w:rsidP="0088050D">
      <w:pPr>
        <w:pStyle w:val="ListParagraph"/>
        <w:numPr>
          <w:ilvl w:val="0"/>
          <w:numId w:val="5"/>
        </w:numPr>
        <w:spacing w:after="0"/>
        <w:ind w:left="709"/>
        <w:rPr>
          <w:rFonts w:ascii="Arial" w:hAnsi="Arial" w:cs="Arial"/>
          <w:sz w:val="24"/>
          <w:szCs w:val="24"/>
        </w:rPr>
      </w:pPr>
      <w:r w:rsidRPr="00107F8B">
        <w:rPr>
          <w:rFonts w:ascii="Arial" w:hAnsi="Arial" w:cs="Arial"/>
          <w:sz w:val="24"/>
          <w:szCs w:val="24"/>
        </w:rPr>
        <w:t>Is this p</w:t>
      </w:r>
      <w:r w:rsidR="00252CBC">
        <w:rPr>
          <w:rFonts w:ascii="Arial" w:hAnsi="Arial" w:cs="Arial"/>
          <w:sz w:val="24"/>
          <w:szCs w:val="24"/>
        </w:rPr>
        <w:t>erson</w:t>
      </w:r>
      <w:r w:rsidRPr="00107F8B">
        <w:rPr>
          <w:rFonts w:ascii="Arial" w:hAnsi="Arial" w:cs="Arial"/>
          <w:sz w:val="24"/>
          <w:szCs w:val="24"/>
        </w:rPr>
        <w:t xml:space="preserve"> compliant with treatment recommendations?</w:t>
      </w:r>
    </w:p>
    <w:p w14:paraId="3B1B1B1E" w14:textId="5E31247C" w:rsidR="00F23EE3" w:rsidRPr="00107F8B" w:rsidRDefault="00F23EE3" w:rsidP="0088050D">
      <w:pPr>
        <w:pStyle w:val="ListParagraph"/>
        <w:spacing w:after="0"/>
        <w:ind w:left="709"/>
        <w:rPr>
          <w:rFonts w:ascii="Arial" w:hAnsi="Arial" w:cs="Arial"/>
          <w:sz w:val="24"/>
          <w:szCs w:val="24"/>
        </w:rPr>
      </w:pPr>
      <w:r w:rsidRPr="00107F8B">
        <w:rPr>
          <w:rFonts w:ascii="Arial" w:hAnsi="Arial" w:cs="Arial"/>
          <w:sz w:val="24"/>
          <w:szCs w:val="24"/>
        </w:rPr>
        <w:t xml:space="preserve">  </w:t>
      </w:r>
    </w:p>
    <w:p w14:paraId="635B98D4" w14:textId="66307FBD" w:rsidR="008442BC" w:rsidRDefault="0076758A" w:rsidP="00F615F2">
      <w:pPr>
        <w:rPr>
          <w:rFonts w:ascii="Arial" w:hAnsi="Arial" w:cs="Arial"/>
          <w:sz w:val="24"/>
          <w:szCs w:val="24"/>
        </w:rPr>
      </w:pPr>
      <w:r>
        <w:rPr>
          <w:rFonts w:ascii="Arial" w:hAnsi="Arial" w:cs="Arial"/>
          <w:sz w:val="24"/>
          <w:szCs w:val="24"/>
        </w:rPr>
        <w:t xml:space="preserve">A narrow mental health assessment may be sufficient in cases </w:t>
      </w:r>
      <w:r w:rsidR="00AD182E">
        <w:rPr>
          <w:rFonts w:ascii="Arial" w:hAnsi="Arial" w:cs="Arial"/>
          <w:sz w:val="24"/>
          <w:szCs w:val="24"/>
        </w:rPr>
        <w:t>where there is substantial evidence from other sources</w:t>
      </w:r>
      <w:r w:rsidR="00F80FBF">
        <w:rPr>
          <w:rFonts w:ascii="Arial" w:hAnsi="Arial" w:cs="Arial"/>
          <w:sz w:val="24"/>
          <w:szCs w:val="24"/>
        </w:rPr>
        <w:t xml:space="preserve"> about the </w:t>
      </w:r>
      <w:r w:rsidR="000647CD">
        <w:rPr>
          <w:rFonts w:ascii="Arial" w:hAnsi="Arial" w:cs="Arial"/>
          <w:sz w:val="24"/>
          <w:szCs w:val="24"/>
        </w:rPr>
        <w:t>quality of the person’s parenting</w:t>
      </w:r>
      <w:r w:rsidR="00221023">
        <w:rPr>
          <w:rFonts w:ascii="Arial" w:hAnsi="Arial" w:cs="Arial"/>
          <w:sz w:val="24"/>
          <w:szCs w:val="24"/>
        </w:rPr>
        <w:t xml:space="preserve"> behaviours</w:t>
      </w:r>
      <w:r w:rsidR="00E564E2">
        <w:rPr>
          <w:rFonts w:ascii="Arial" w:hAnsi="Arial" w:cs="Arial"/>
          <w:sz w:val="24"/>
          <w:szCs w:val="24"/>
        </w:rPr>
        <w:t xml:space="preserve"> and the needs of the children</w:t>
      </w:r>
      <w:r w:rsidR="002E27BC">
        <w:rPr>
          <w:rFonts w:ascii="Arial" w:hAnsi="Arial" w:cs="Arial"/>
          <w:sz w:val="24"/>
          <w:szCs w:val="24"/>
        </w:rPr>
        <w:t>.</w:t>
      </w:r>
      <w:r w:rsidR="00087041">
        <w:rPr>
          <w:rStyle w:val="FootnoteReference"/>
          <w:rFonts w:ascii="Arial" w:hAnsi="Arial" w:cs="Arial"/>
          <w:sz w:val="24"/>
          <w:szCs w:val="24"/>
        </w:rPr>
        <w:footnoteReference w:id="13"/>
      </w:r>
      <w:r w:rsidR="002E27BC">
        <w:rPr>
          <w:rFonts w:ascii="Arial" w:hAnsi="Arial" w:cs="Arial"/>
          <w:sz w:val="24"/>
          <w:szCs w:val="24"/>
        </w:rPr>
        <w:t xml:space="preserve">  </w:t>
      </w:r>
      <w:r w:rsidR="00C97966">
        <w:rPr>
          <w:rFonts w:ascii="Arial" w:hAnsi="Arial" w:cs="Arial"/>
          <w:sz w:val="24"/>
          <w:szCs w:val="24"/>
        </w:rPr>
        <w:t xml:space="preserve">However, child protection cases are often complicated by the presence of multiple </w:t>
      </w:r>
      <w:r w:rsidR="00DA4629">
        <w:rPr>
          <w:rFonts w:ascii="Arial" w:hAnsi="Arial" w:cs="Arial"/>
          <w:sz w:val="24"/>
          <w:szCs w:val="24"/>
        </w:rPr>
        <w:t>issues</w:t>
      </w:r>
      <w:r w:rsidR="00505667">
        <w:rPr>
          <w:rFonts w:ascii="Arial" w:hAnsi="Arial" w:cs="Arial"/>
          <w:sz w:val="24"/>
          <w:szCs w:val="24"/>
        </w:rPr>
        <w:t xml:space="preserve"> which may </w:t>
      </w:r>
      <w:r w:rsidR="008A79AF">
        <w:rPr>
          <w:rFonts w:ascii="Arial" w:hAnsi="Arial" w:cs="Arial"/>
          <w:sz w:val="24"/>
          <w:szCs w:val="24"/>
        </w:rPr>
        <w:t xml:space="preserve">include </w:t>
      </w:r>
      <w:r w:rsidR="00505667">
        <w:rPr>
          <w:rFonts w:ascii="Arial" w:hAnsi="Arial" w:cs="Arial"/>
          <w:sz w:val="24"/>
          <w:szCs w:val="24"/>
        </w:rPr>
        <w:t xml:space="preserve">one or more mental health conditions </w:t>
      </w:r>
      <w:r w:rsidR="008A79AF">
        <w:rPr>
          <w:rFonts w:ascii="Arial" w:hAnsi="Arial" w:cs="Arial"/>
          <w:sz w:val="24"/>
          <w:szCs w:val="24"/>
        </w:rPr>
        <w:t xml:space="preserve">in addition to past </w:t>
      </w:r>
      <w:r w:rsidR="00946A21">
        <w:rPr>
          <w:rFonts w:ascii="Arial" w:hAnsi="Arial" w:cs="Arial"/>
          <w:sz w:val="24"/>
          <w:szCs w:val="24"/>
        </w:rPr>
        <w:t xml:space="preserve">childhood trauma and addictions issues. </w:t>
      </w:r>
      <w:r w:rsidR="00946BC9">
        <w:rPr>
          <w:rFonts w:ascii="Arial" w:hAnsi="Arial" w:cs="Arial"/>
          <w:sz w:val="24"/>
          <w:szCs w:val="24"/>
        </w:rPr>
        <w:t xml:space="preserve"> The children</w:t>
      </w:r>
      <w:r w:rsidR="001355F9">
        <w:rPr>
          <w:rFonts w:ascii="Arial" w:hAnsi="Arial" w:cs="Arial"/>
          <w:sz w:val="24"/>
          <w:szCs w:val="24"/>
        </w:rPr>
        <w:t xml:space="preserve"> in the family may also have special needs through the impact of </w:t>
      </w:r>
      <w:r w:rsidR="00371D1A">
        <w:rPr>
          <w:rFonts w:ascii="Arial" w:hAnsi="Arial" w:cs="Arial"/>
          <w:sz w:val="24"/>
          <w:szCs w:val="24"/>
        </w:rPr>
        <w:t xml:space="preserve">genetics or the parenting environment or some combination of both.  </w:t>
      </w:r>
    </w:p>
    <w:p w14:paraId="0873CC68" w14:textId="7C3906B9" w:rsidR="00E95653" w:rsidRDefault="00371D1A" w:rsidP="00F615F2">
      <w:pPr>
        <w:rPr>
          <w:rFonts w:ascii="Arial" w:hAnsi="Arial" w:cs="Arial"/>
          <w:sz w:val="24"/>
          <w:szCs w:val="24"/>
        </w:rPr>
      </w:pPr>
      <w:r>
        <w:rPr>
          <w:rFonts w:ascii="Arial" w:hAnsi="Arial" w:cs="Arial"/>
          <w:sz w:val="24"/>
          <w:szCs w:val="24"/>
        </w:rPr>
        <w:t xml:space="preserve">These issues can </w:t>
      </w:r>
      <w:r w:rsidR="00030E35">
        <w:rPr>
          <w:rFonts w:ascii="Arial" w:hAnsi="Arial" w:cs="Arial"/>
          <w:sz w:val="24"/>
          <w:szCs w:val="24"/>
        </w:rPr>
        <w:t xml:space="preserve">pose complex fact-finding challenges to the </w:t>
      </w:r>
      <w:r w:rsidR="002062E1">
        <w:rPr>
          <w:rFonts w:ascii="Arial" w:hAnsi="Arial" w:cs="Arial"/>
          <w:sz w:val="24"/>
          <w:szCs w:val="24"/>
        </w:rPr>
        <w:t>family court judge</w:t>
      </w:r>
      <w:r w:rsidR="00293B2A">
        <w:rPr>
          <w:rFonts w:ascii="Arial" w:hAnsi="Arial" w:cs="Arial"/>
          <w:sz w:val="24"/>
          <w:szCs w:val="24"/>
        </w:rPr>
        <w:t xml:space="preserve"> and narrow assessments may not </w:t>
      </w:r>
      <w:r w:rsidR="001955C2">
        <w:rPr>
          <w:rFonts w:ascii="Arial" w:hAnsi="Arial" w:cs="Arial"/>
          <w:sz w:val="24"/>
          <w:szCs w:val="24"/>
        </w:rPr>
        <w:t xml:space="preserve">always </w:t>
      </w:r>
      <w:r w:rsidR="00293B2A">
        <w:rPr>
          <w:rFonts w:ascii="Arial" w:hAnsi="Arial" w:cs="Arial"/>
          <w:sz w:val="24"/>
          <w:szCs w:val="24"/>
        </w:rPr>
        <w:t>be sufficient</w:t>
      </w:r>
      <w:r w:rsidR="009A305D">
        <w:rPr>
          <w:rFonts w:ascii="Arial" w:hAnsi="Arial" w:cs="Arial"/>
          <w:sz w:val="24"/>
          <w:szCs w:val="24"/>
        </w:rPr>
        <w:t xml:space="preserve"> to provide the court with the op</w:t>
      </w:r>
      <w:r w:rsidR="00E3756F">
        <w:rPr>
          <w:rFonts w:ascii="Arial" w:hAnsi="Arial" w:cs="Arial"/>
          <w:sz w:val="24"/>
          <w:szCs w:val="24"/>
        </w:rPr>
        <w:t>inion evidence necessary to make the needed determinations in the case</w:t>
      </w:r>
      <w:r w:rsidR="002062E1">
        <w:rPr>
          <w:rFonts w:ascii="Arial" w:hAnsi="Arial" w:cs="Arial"/>
          <w:sz w:val="24"/>
          <w:szCs w:val="24"/>
        </w:rPr>
        <w:t xml:space="preserve">.  </w:t>
      </w:r>
      <w:r w:rsidR="00124888">
        <w:rPr>
          <w:rFonts w:ascii="Arial" w:hAnsi="Arial" w:cs="Arial"/>
          <w:sz w:val="24"/>
          <w:szCs w:val="24"/>
        </w:rPr>
        <w:t xml:space="preserve">Further, there may be significant gaps in the evidence provided by child protection workers and other collateral witnesses.  </w:t>
      </w:r>
      <w:r w:rsidR="002062E1">
        <w:rPr>
          <w:rFonts w:ascii="Arial" w:hAnsi="Arial" w:cs="Arial"/>
          <w:sz w:val="24"/>
          <w:szCs w:val="24"/>
        </w:rPr>
        <w:t>T</w:t>
      </w:r>
      <w:r w:rsidR="003E23F9">
        <w:rPr>
          <w:rFonts w:ascii="Arial" w:hAnsi="Arial" w:cs="Arial"/>
          <w:sz w:val="24"/>
          <w:szCs w:val="24"/>
        </w:rPr>
        <w:t xml:space="preserve">here will always be cases </w:t>
      </w:r>
      <w:r w:rsidR="00121F59">
        <w:rPr>
          <w:rFonts w:ascii="Arial" w:hAnsi="Arial" w:cs="Arial"/>
          <w:sz w:val="24"/>
          <w:szCs w:val="24"/>
        </w:rPr>
        <w:t>where</w:t>
      </w:r>
      <w:r w:rsidR="0069036B">
        <w:rPr>
          <w:rFonts w:ascii="Arial" w:hAnsi="Arial" w:cs="Arial"/>
          <w:sz w:val="24"/>
          <w:szCs w:val="24"/>
        </w:rPr>
        <w:t xml:space="preserve"> </w:t>
      </w:r>
      <w:r w:rsidR="009B0712">
        <w:rPr>
          <w:rFonts w:ascii="Arial" w:hAnsi="Arial" w:cs="Arial"/>
          <w:sz w:val="24"/>
          <w:szCs w:val="24"/>
        </w:rPr>
        <w:t>clinical</w:t>
      </w:r>
      <w:r w:rsidR="00535B34">
        <w:rPr>
          <w:rFonts w:ascii="Arial" w:hAnsi="Arial" w:cs="Arial"/>
          <w:sz w:val="24"/>
          <w:szCs w:val="24"/>
        </w:rPr>
        <w:t xml:space="preserve"> </w:t>
      </w:r>
      <w:r w:rsidR="00E95653">
        <w:rPr>
          <w:rFonts w:ascii="Arial" w:hAnsi="Arial" w:cs="Arial"/>
          <w:sz w:val="24"/>
          <w:szCs w:val="24"/>
        </w:rPr>
        <w:t xml:space="preserve">opinion evidence </w:t>
      </w:r>
      <w:r w:rsidR="00087041">
        <w:rPr>
          <w:rFonts w:ascii="Arial" w:hAnsi="Arial" w:cs="Arial"/>
          <w:sz w:val="24"/>
          <w:szCs w:val="24"/>
        </w:rPr>
        <w:t xml:space="preserve">will </w:t>
      </w:r>
      <w:r w:rsidR="00CC476B">
        <w:rPr>
          <w:rFonts w:ascii="Arial" w:hAnsi="Arial" w:cs="Arial"/>
          <w:sz w:val="24"/>
          <w:szCs w:val="24"/>
        </w:rPr>
        <w:t xml:space="preserve">be necessary </w:t>
      </w:r>
      <w:r w:rsidR="004E4210">
        <w:rPr>
          <w:rFonts w:ascii="Arial" w:hAnsi="Arial" w:cs="Arial"/>
          <w:sz w:val="24"/>
          <w:szCs w:val="24"/>
        </w:rPr>
        <w:t xml:space="preserve">to evaluate </w:t>
      </w:r>
      <w:r w:rsidR="00904E44" w:rsidRPr="001C4EBF">
        <w:rPr>
          <w:rFonts w:ascii="Arial" w:hAnsi="Arial" w:cs="Arial"/>
          <w:sz w:val="24"/>
          <w:szCs w:val="24"/>
        </w:rPr>
        <w:t>areas of concern</w:t>
      </w:r>
      <w:r w:rsidR="00E95653">
        <w:rPr>
          <w:rFonts w:ascii="Arial" w:hAnsi="Arial" w:cs="Arial"/>
          <w:sz w:val="24"/>
          <w:szCs w:val="24"/>
        </w:rPr>
        <w:t xml:space="preserve"> such as the following:</w:t>
      </w:r>
      <w:r w:rsidR="00D05166">
        <w:rPr>
          <w:rStyle w:val="FootnoteReference"/>
          <w:rFonts w:ascii="Arial" w:hAnsi="Arial" w:cs="Arial"/>
          <w:sz w:val="24"/>
          <w:szCs w:val="24"/>
        </w:rPr>
        <w:footnoteReference w:id="14"/>
      </w:r>
    </w:p>
    <w:p w14:paraId="6A13456C" w14:textId="20A1B43B" w:rsidR="008473F4" w:rsidRDefault="00252352" w:rsidP="00980F8D">
      <w:pPr>
        <w:pStyle w:val="ListParagraph"/>
        <w:numPr>
          <w:ilvl w:val="0"/>
          <w:numId w:val="4"/>
        </w:numPr>
        <w:rPr>
          <w:rFonts w:ascii="Arial" w:hAnsi="Arial" w:cs="Arial"/>
          <w:sz w:val="24"/>
          <w:szCs w:val="24"/>
        </w:rPr>
      </w:pPr>
      <w:r>
        <w:rPr>
          <w:rFonts w:ascii="Arial" w:hAnsi="Arial" w:cs="Arial"/>
          <w:sz w:val="24"/>
          <w:szCs w:val="24"/>
        </w:rPr>
        <w:t>T</w:t>
      </w:r>
      <w:r w:rsidR="00383514">
        <w:rPr>
          <w:rFonts w:ascii="Arial" w:hAnsi="Arial" w:cs="Arial"/>
          <w:sz w:val="24"/>
          <w:szCs w:val="24"/>
        </w:rPr>
        <w:t xml:space="preserve">he parenting capabilities </w:t>
      </w:r>
      <w:r w:rsidR="00F718A6">
        <w:rPr>
          <w:rFonts w:ascii="Arial" w:hAnsi="Arial" w:cs="Arial"/>
          <w:sz w:val="24"/>
          <w:szCs w:val="24"/>
        </w:rPr>
        <w:t xml:space="preserve">of the proposed participants in the child’s plan of care, including those attributes, </w:t>
      </w:r>
      <w:proofErr w:type="gramStart"/>
      <w:r w:rsidR="00F718A6">
        <w:rPr>
          <w:rFonts w:ascii="Arial" w:hAnsi="Arial" w:cs="Arial"/>
          <w:sz w:val="24"/>
          <w:szCs w:val="24"/>
        </w:rPr>
        <w:t>skills</w:t>
      </w:r>
      <w:proofErr w:type="gramEnd"/>
      <w:r w:rsidR="00F718A6">
        <w:rPr>
          <w:rFonts w:ascii="Arial" w:hAnsi="Arial" w:cs="Arial"/>
          <w:sz w:val="24"/>
          <w:szCs w:val="24"/>
        </w:rPr>
        <w:t xml:space="preserve"> and abilities most relevant to the child protection concerns</w:t>
      </w:r>
      <w:r w:rsidR="00DE06E0">
        <w:rPr>
          <w:rFonts w:ascii="Arial" w:hAnsi="Arial" w:cs="Arial"/>
          <w:sz w:val="24"/>
          <w:szCs w:val="24"/>
        </w:rPr>
        <w:t>.</w:t>
      </w:r>
      <w:r w:rsidR="00F718A6">
        <w:rPr>
          <w:rFonts w:ascii="Arial" w:hAnsi="Arial" w:cs="Arial"/>
          <w:sz w:val="24"/>
          <w:szCs w:val="24"/>
        </w:rPr>
        <w:t xml:space="preserve">  </w:t>
      </w:r>
    </w:p>
    <w:p w14:paraId="2351EE55" w14:textId="77777777" w:rsidR="008507E3" w:rsidRDefault="008507E3" w:rsidP="008507E3">
      <w:pPr>
        <w:pStyle w:val="ListParagraph"/>
        <w:rPr>
          <w:rFonts w:ascii="Arial" w:hAnsi="Arial" w:cs="Arial"/>
          <w:sz w:val="24"/>
          <w:szCs w:val="24"/>
        </w:rPr>
      </w:pPr>
    </w:p>
    <w:p w14:paraId="456275C7" w14:textId="75920D30" w:rsidR="008473F4" w:rsidRDefault="00A55D3A" w:rsidP="00980F8D">
      <w:pPr>
        <w:pStyle w:val="ListParagraph"/>
        <w:numPr>
          <w:ilvl w:val="0"/>
          <w:numId w:val="4"/>
        </w:numPr>
        <w:rPr>
          <w:rFonts w:ascii="Arial" w:hAnsi="Arial" w:cs="Arial"/>
          <w:sz w:val="24"/>
          <w:szCs w:val="24"/>
        </w:rPr>
      </w:pPr>
      <w:r>
        <w:rPr>
          <w:rFonts w:ascii="Arial" w:hAnsi="Arial" w:cs="Arial"/>
          <w:sz w:val="24"/>
          <w:szCs w:val="24"/>
        </w:rPr>
        <w:t xml:space="preserve">Whether the proposed participants in the child’s plan of care </w:t>
      </w:r>
      <w:r w:rsidR="007C641A">
        <w:rPr>
          <w:rFonts w:ascii="Arial" w:hAnsi="Arial" w:cs="Arial"/>
          <w:sz w:val="24"/>
          <w:szCs w:val="24"/>
        </w:rPr>
        <w:t xml:space="preserve">have any psychiatric, </w:t>
      </w:r>
      <w:proofErr w:type="gramStart"/>
      <w:r w:rsidR="007C641A">
        <w:rPr>
          <w:rFonts w:ascii="Arial" w:hAnsi="Arial" w:cs="Arial"/>
          <w:sz w:val="24"/>
          <w:szCs w:val="24"/>
        </w:rPr>
        <w:t>psychological</w:t>
      </w:r>
      <w:proofErr w:type="gramEnd"/>
      <w:r w:rsidR="007C641A">
        <w:rPr>
          <w:rFonts w:ascii="Arial" w:hAnsi="Arial" w:cs="Arial"/>
          <w:sz w:val="24"/>
          <w:szCs w:val="24"/>
        </w:rPr>
        <w:t xml:space="preserve"> or other disorder or condition which may impact upon their ability to care for the child</w:t>
      </w:r>
      <w:r w:rsidR="00DE06E0">
        <w:rPr>
          <w:rFonts w:ascii="Arial" w:hAnsi="Arial" w:cs="Arial"/>
          <w:sz w:val="24"/>
          <w:szCs w:val="24"/>
        </w:rPr>
        <w:t>.</w:t>
      </w:r>
    </w:p>
    <w:p w14:paraId="58643946" w14:textId="77777777" w:rsidR="00A00B9A" w:rsidRPr="00A00B9A" w:rsidRDefault="00A00B9A" w:rsidP="00A00B9A">
      <w:pPr>
        <w:pStyle w:val="ListParagraph"/>
        <w:rPr>
          <w:rFonts w:ascii="Arial" w:hAnsi="Arial" w:cs="Arial"/>
          <w:sz w:val="24"/>
          <w:szCs w:val="24"/>
        </w:rPr>
      </w:pPr>
    </w:p>
    <w:p w14:paraId="1D6D7127" w14:textId="4CCBF09F" w:rsidR="00C90F5D" w:rsidRDefault="00202BA3" w:rsidP="00C90F5D">
      <w:pPr>
        <w:pStyle w:val="ListParagraph"/>
        <w:numPr>
          <w:ilvl w:val="0"/>
          <w:numId w:val="4"/>
        </w:numPr>
        <w:rPr>
          <w:rFonts w:ascii="Arial" w:hAnsi="Arial" w:cs="Arial"/>
          <w:sz w:val="24"/>
          <w:szCs w:val="24"/>
        </w:rPr>
      </w:pPr>
      <w:r>
        <w:rPr>
          <w:rFonts w:ascii="Arial" w:hAnsi="Arial" w:cs="Arial"/>
          <w:sz w:val="24"/>
          <w:szCs w:val="24"/>
        </w:rPr>
        <w:t>T</w:t>
      </w:r>
      <w:r w:rsidR="00C90F5D">
        <w:rPr>
          <w:rFonts w:ascii="Arial" w:hAnsi="Arial" w:cs="Arial"/>
          <w:sz w:val="24"/>
          <w:szCs w:val="24"/>
        </w:rPr>
        <w:t>he nature of the child’s attachment to a proposed participant in the child’s plan of care and the possible effects on the child of continuing or severing that relationship</w:t>
      </w:r>
      <w:r w:rsidR="00962962">
        <w:rPr>
          <w:rFonts w:ascii="Arial" w:hAnsi="Arial" w:cs="Arial"/>
          <w:sz w:val="24"/>
          <w:szCs w:val="24"/>
        </w:rPr>
        <w:t>.</w:t>
      </w:r>
    </w:p>
    <w:p w14:paraId="77A75C5C" w14:textId="77777777" w:rsidR="00C90F5D" w:rsidRPr="00C90F5D" w:rsidRDefault="00C90F5D" w:rsidP="00C90F5D">
      <w:pPr>
        <w:pStyle w:val="ListParagraph"/>
        <w:rPr>
          <w:rFonts w:ascii="Arial" w:hAnsi="Arial" w:cs="Arial"/>
          <w:sz w:val="24"/>
          <w:szCs w:val="24"/>
        </w:rPr>
      </w:pPr>
    </w:p>
    <w:p w14:paraId="1F5A1105" w14:textId="0BBE84DD" w:rsidR="00947DA1" w:rsidRDefault="00202BA3" w:rsidP="00980F8D">
      <w:pPr>
        <w:pStyle w:val="ListParagraph"/>
        <w:numPr>
          <w:ilvl w:val="0"/>
          <w:numId w:val="4"/>
        </w:numPr>
        <w:rPr>
          <w:rFonts w:ascii="Arial" w:hAnsi="Arial" w:cs="Arial"/>
          <w:sz w:val="24"/>
          <w:szCs w:val="24"/>
        </w:rPr>
      </w:pPr>
      <w:r>
        <w:rPr>
          <w:rFonts w:ascii="Arial" w:hAnsi="Arial" w:cs="Arial"/>
          <w:sz w:val="24"/>
          <w:szCs w:val="24"/>
        </w:rPr>
        <w:t>T</w:t>
      </w:r>
      <w:r w:rsidR="00947DA1">
        <w:rPr>
          <w:rFonts w:ascii="Arial" w:hAnsi="Arial" w:cs="Arial"/>
          <w:sz w:val="24"/>
          <w:szCs w:val="24"/>
        </w:rPr>
        <w:t>he psychological functioning and developmental needs of the child, including any vulnerabilities and special needs.</w:t>
      </w:r>
    </w:p>
    <w:p w14:paraId="73FE05FD" w14:textId="77777777" w:rsidR="006A0579" w:rsidRPr="006A0579" w:rsidRDefault="006A0579" w:rsidP="006A0579">
      <w:pPr>
        <w:pStyle w:val="ListParagraph"/>
        <w:rPr>
          <w:rFonts w:ascii="Arial" w:hAnsi="Arial" w:cs="Arial"/>
          <w:sz w:val="24"/>
          <w:szCs w:val="24"/>
        </w:rPr>
      </w:pPr>
    </w:p>
    <w:p w14:paraId="4C6FB19F" w14:textId="038F68BC" w:rsidR="006A0579" w:rsidRDefault="00750E92" w:rsidP="00980F8D">
      <w:pPr>
        <w:pStyle w:val="ListParagraph"/>
        <w:numPr>
          <w:ilvl w:val="0"/>
          <w:numId w:val="4"/>
        </w:numPr>
        <w:rPr>
          <w:rFonts w:ascii="Arial" w:hAnsi="Arial" w:cs="Arial"/>
          <w:sz w:val="24"/>
          <w:szCs w:val="24"/>
        </w:rPr>
      </w:pPr>
      <w:r>
        <w:rPr>
          <w:rFonts w:ascii="Arial" w:hAnsi="Arial" w:cs="Arial"/>
          <w:sz w:val="24"/>
          <w:szCs w:val="24"/>
        </w:rPr>
        <w:lastRenderedPageBreak/>
        <w:t>T</w:t>
      </w:r>
      <w:r w:rsidR="00DF16D8">
        <w:rPr>
          <w:rFonts w:ascii="Arial" w:hAnsi="Arial" w:cs="Arial"/>
          <w:sz w:val="24"/>
          <w:szCs w:val="24"/>
        </w:rPr>
        <w:t>he current and potential abilities of the proposed participants</w:t>
      </w:r>
      <w:r w:rsidR="000F7C8B">
        <w:rPr>
          <w:rFonts w:ascii="Arial" w:hAnsi="Arial" w:cs="Arial"/>
          <w:sz w:val="24"/>
          <w:szCs w:val="24"/>
        </w:rPr>
        <w:t xml:space="preserve"> in the child’s plan of care to meet the needs of the child, including an evaluation of the relationship between the child and the proposed participants in the child’s plan of care</w:t>
      </w:r>
      <w:r w:rsidR="00962962">
        <w:rPr>
          <w:rFonts w:ascii="Arial" w:hAnsi="Arial" w:cs="Arial"/>
          <w:sz w:val="24"/>
          <w:szCs w:val="24"/>
        </w:rPr>
        <w:t>.</w:t>
      </w:r>
    </w:p>
    <w:p w14:paraId="44AACA7B" w14:textId="77777777" w:rsidR="007C422A" w:rsidRPr="007C422A" w:rsidRDefault="007C422A" w:rsidP="007C422A">
      <w:pPr>
        <w:pStyle w:val="ListParagraph"/>
        <w:rPr>
          <w:rFonts w:ascii="Arial" w:hAnsi="Arial" w:cs="Arial"/>
          <w:sz w:val="24"/>
          <w:szCs w:val="24"/>
        </w:rPr>
      </w:pPr>
    </w:p>
    <w:p w14:paraId="649832FB" w14:textId="4D683277" w:rsidR="007C422A" w:rsidRDefault="00750E92" w:rsidP="007C422A">
      <w:pPr>
        <w:pStyle w:val="ListParagraph"/>
        <w:numPr>
          <w:ilvl w:val="0"/>
          <w:numId w:val="4"/>
        </w:numPr>
        <w:rPr>
          <w:rFonts w:ascii="Arial" w:hAnsi="Arial" w:cs="Arial"/>
          <w:sz w:val="24"/>
          <w:szCs w:val="24"/>
        </w:rPr>
      </w:pPr>
      <w:r>
        <w:rPr>
          <w:rFonts w:ascii="Arial" w:hAnsi="Arial" w:cs="Arial"/>
          <w:sz w:val="24"/>
          <w:szCs w:val="24"/>
        </w:rPr>
        <w:t>T</w:t>
      </w:r>
      <w:r w:rsidR="007C422A">
        <w:rPr>
          <w:rFonts w:ascii="Arial" w:hAnsi="Arial" w:cs="Arial"/>
          <w:sz w:val="24"/>
          <w:szCs w:val="24"/>
        </w:rPr>
        <w:t>he need for and likelihood of success of clinical interventions for observed problems</w:t>
      </w:r>
      <w:r w:rsidR="00962962">
        <w:rPr>
          <w:rFonts w:ascii="Arial" w:hAnsi="Arial" w:cs="Arial"/>
          <w:sz w:val="24"/>
          <w:szCs w:val="24"/>
        </w:rPr>
        <w:t>.</w:t>
      </w:r>
    </w:p>
    <w:p w14:paraId="25777ACB" w14:textId="77777777" w:rsidR="006B273F" w:rsidRPr="006B273F" w:rsidRDefault="006B273F" w:rsidP="006B273F">
      <w:pPr>
        <w:pStyle w:val="ListParagraph"/>
        <w:rPr>
          <w:rFonts w:ascii="Arial" w:hAnsi="Arial" w:cs="Arial"/>
          <w:sz w:val="24"/>
          <w:szCs w:val="24"/>
        </w:rPr>
      </w:pPr>
    </w:p>
    <w:p w14:paraId="49EFE1B4" w14:textId="51E5EC85" w:rsidR="00A5563C" w:rsidRDefault="005C7503" w:rsidP="00AA5A43">
      <w:pPr>
        <w:rPr>
          <w:rFonts w:ascii="Arial" w:hAnsi="Arial" w:cs="Arial"/>
          <w:sz w:val="24"/>
          <w:szCs w:val="24"/>
        </w:rPr>
      </w:pPr>
      <w:r>
        <w:rPr>
          <w:rFonts w:ascii="Arial" w:hAnsi="Arial" w:cs="Arial"/>
          <w:sz w:val="24"/>
          <w:szCs w:val="24"/>
        </w:rPr>
        <w:t xml:space="preserve">Parenting capacity assessments can provide objective, </w:t>
      </w:r>
      <w:r w:rsidR="00E06BE8">
        <w:rPr>
          <w:rFonts w:ascii="Arial" w:hAnsi="Arial" w:cs="Arial"/>
          <w:sz w:val="24"/>
          <w:szCs w:val="24"/>
        </w:rPr>
        <w:t xml:space="preserve">independent and relevant clinical information to assist the court in making the necessary determinations. </w:t>
      </w:r>
      <w:r w:rsidR="00A338F8">
        <w:rPr>
          <w:rFonts w:ascii="Arial" w:hAnsi="Arial" w:cs="Arial"/>
          <w:sz w:val="24"/>
          <w:szCs w:val="24"/>
        </w:rPr>
        <w:t xml:space="preserve"> </w:t>
      </w:r>
      <w:r w:rsidR="00E06BE8">
        <w:rPr>
          <w:rFonts w:ascii="Arial" w:hAnsi="Arial" w:cs="Arial"/>
          <w:sz w:val="24"/>
          <w:szCs w:val="24"/>
        </w:rPr>
        <w:t xml:space="preserve"> </w:t>
      </w:r>
      <w:r w:rsidR="009A4768">
        <w:rPr>
          <w:rFonts w:ascii="Arial" w:hAnsi="Arial" w:cs="Arial"/>
          <w:sz w:val="24"/>
          <w:szCs w:val="24"/>
        </w:rPr>
        <w:t xml:space="preserve">According to </w:t>
      </w:r>
      <w:r w:rsidR="00F01110">
        <w:rPr>
          <w:rFonts w:ascii="Arial" w:hAnsi="Arial" w:cs="Arial"/>
          <w:sz w:val="24"/>
          <w:szCs w:val="24"/>
        </w:rPr>
        <w:t>Budd (2005)</w:t>
      </w:r>
      <w:r w:rsidR="00DA043D">
        <w:rPr>
          <w:rFonts w:ascii="Arial" w:hAnsi="Arial" w:cs="Arial"/>
          <w:sz w:val="24"/>
          <w:szCs w:val="24"/>
        </w:rPr>
        <w:t xml:space="preserve"> </w:t>
      </w:r>
      <w:r w:rsidR="00F01110">
        <w:rPr>
          <w:rFonts w:ascii="Arial" w:hAnsi="Arial" w:cs="Arial"/>
          <w:sz w:val="24"/>
          <w:szCs w:val="24"/>
        </w:rPr>
        <w:t>a</w:t>
      </w:r>
      <w:r w:rsidR="006C5D4E">
        <w:rPr>
          <w:rFonts w:ascii="Arial" w:hAnsi="Arial" w:cs="Arial"/>
          <w:sz w:val="24"/>
          <w:szCs w:val="24"/>
        </w:rPr>
        <w:t xml:space="preserve"> parenting capacity assessment can </w:t>
      </w:r>
      <w:r w:rsidR="00A5563C">
        <w:rPr>
          <w:rFonts w:ascii="Arial" w:hAnsi="Arial" w:cs="Arial"/>
          <w:sz w:val="24"/>
          <w:szCs w:val="24"/>
        </w:rPr>
        <w:t>do the following</w:t>
      </w:r>
      <w:r w:rsidR="00B873B9">
        <w:rPr>
          <w:rFonts w:ascii="Arial" w:hAnsi="Arial" w:cs="Arial"/>
          <w:sz w:val="24"/>
          <w:szCs w:val="24"/>
        </w:rPr>
        <w:t>:</w:t>
      </w:r>
      <w:r w:rsidR="006B2331">
        <w:rPr>
          <w:rStyle w:val="FootnoteReference"/>
          <w:rFonts w:ascii="Arial" w:hAnsi="Arial" w:cs="Arial"/>
          <w:sz w:val="24"/>
          <w:szCs w:val="24"/>
        </w:rPr>
        <w:footnoteReference w:id="15"/>
      </w:r>
    </w:p>
    <w:p w14:paraId="24BA207C" w14:textId="77777777" w:rsidR="00BB2E6E" w:rsidRDefault="00BB2E6E" w:rsidP="00AA5A43">
      <w:pPr>
        <w:rPr>
          <w:rFonts w:ascii="Arial" w:hAnsi="Arial" w:cs="Arial"/>
          <w:sz w:val="24"/>
          <w:szCs w:val="24"/>
        </w:rPr>
      </w:pPr>
    </w:p>
    <w:p w14:paraId="298DD104" w14:textId="4B5BFE93" w:rsidR="00341876" w:rsidRDefault="00A5563C" w:rsidP="00A5563C">
      <w:pPr>
        <w:pStyle w:val="ListParagraph"/>
        <w:numPr>
          <w:ilvl w:val="0"/>
          <w:numId w:val="6"/>
        </w:numPr>
        <w:rPr>
          <w:rFonts w:ascii="Arial" w:hAnsi="Arial" w:cs="Arial"/>
          <w:sz w:val="24"/>
          <w:szCs w:val="24"/>
        </w:rPr>
      </w:pPr>
      <w:r>
        <w:rPr>
          <w:rFonts w:ascii="Arial" w:hAnsi="Arial" w:cs="Arial"/>
          <w:sz w:val="24"/>
          <w:szCs w:val="24"/>
        </w:rPr>
        <w:t>Describe characteristics</w:t>
      </w:r>
      <w:r w:rsidR="00341876">
        <w:rPr>
          <w:rFonts w:ascii="Arial" w:hAnsi="Arial" w:cs="Arial"/>
          <w:sz w:val="24"/>
          <w:szCs w:val="24"/>
        </w:rPr>
        <w:t xml:space="preserve"> and patterns of a parent’s functioning in adult and childrearing </w:t>
      </w:r>
      <w:proofErr w:type="gramStart"/>
      <w:r w:rsidR="00341876">
        <w:rPr>
          <w:rFonts w:ascii="Arial" w:hAnsi="Arial" w:cs="Arial"/>
          <w:sz w:val="24"/>
          <w:szCs w:val="24"/>
        </w:rPr>
        <w:t>roles;</w:t>
      </w:r>
      <w:proofErr w:type="gramEnd"/>
    </w:p>
    <w:p w14:paraId="234239FA" w14:textId="77777777" w:rsidR="008D7CFF" w:rsidRDefault="008D7CFF" w:rsidP="008D7CFF">
      <w:pPr>
        <w:pStyle w:val="ListParagraph"/>
        <w:rPr>
          <w:rFonts w:ascii="Arial" w:hAnsi="Arial" w:cs="Arial"/>
          <w:sz w:val="24"/>
          <w:szCs w:val="24"/>
        </w:rPr>
      </w:pPr>
    </w:p>
    <w:p w14:paraId="1E281CE1" w14:textId="37172BF3" w:rsidR="00341876" w:rsidRDefault="00341876" w:rsidP="00A5563C">
      <w:pPr>
        <w:pStyle w:val="ListParagraph"/>
        <w:numPr>
          <w:ilvl w:val="0"/>
          <w:numId w:val="6"/>
        </w:numPr>
        <w:rPr>
          <w:rFonts w:ascii="Arial" w:hAnsi="Arial" w:cs="Arial"/>
          <w:sz w:val="24"/>
          <w:szCs w:val="24"/>
        </w:rPr>
      </w:pPr>
      <w:r>
        <w:rPr>
          <w:rFonts w:ascii="Arial" w:hAnsi="Arial" w:cs="Arial"/>
          <w:sz w:val="24"/>
          <w:szCs w:val="24"/>
        </w:rPr>
        <w:t xml:space="preserve">Explain possible reasons for abnormal or problematic behaviours and the potential for </w:t>
      </w:r>
      <w:proofErr w:type="gramStart"/>
      <w:r>
        <w:rPr>
          <w:rFonts w:ascii="Arial" w:hAnsi="Arial" w:cs="Arial"/>
          <w:sz w:val="24"/>
          <w:szCs w:val="24"/>
        </w:rPr>
        <w:t>change;</w:t>
      </w:r>
      <w:proofErr w:type="gramEnd"/>
    </w:p>
    <w:p w14:paraId="0EFDDE2D" w14:textId="77777777" w:rsidR="00AC6569" w:rsidRDefault="00AC6569" w:rsidP="00AC6569">
      <w:pPr>
        <w:pStyle w:val="ListParagraph"/>
        <w:rPr>
          <w:rFonts w:ascii="Arial" w:hAnsi="Arial" w:cs="Arial"/>
          <w:sz w:val="24"/>
          <w:szCs w:val="24"/>
        </w:rPr>
      </w:pPr>
    </w:p>
    <w:p w14:paraId="7DF29199" w14:textId="1314D9BA" w:rsidR="00AA5A43" w:rsidRDefault="00CB313F" w:rsidP="00A5563C">
      <w:pPr>
        <w:pStyle w:val="ListParagraph"/>
        <w:numPr>
          <w:ilvl w:val="0"/>
          <w:numId w:val="6"/>
        </w:numPr>
        <w:rPr>
          <w:rFonts w:ascii="Arial" w:hAnsi="Arial" w:cs="Arial"/>
          <w:sz w:val="24"/>
          <w:szCs w:val="24"/>
        </w:rPr>
      </w:pPr>
      <w:r>
        <w:rPr>
          <w:rFonts w:ascii="Arial" w:hAnsi="Arial" w:cs="Arial"/>
          <w:sz w:val="24"/>
          <w:szCs w:val="24"/>
        </w:rPr>
        <w:t>Identify person</w:t>
      </w:r>
      <w:r w:rsidR="00A36C6E">
        <w:rPr>
          <w:rFonts w:ascii="Arial" w:hAnsi="Arial" w:cs="Arial"/>
          <w:sz w:val="24"/>
          <w:szCs w:val="24"/>
        </w:rPr>
        <w:t xml:space="preserve">-based and environmental conditions likely to positively or negatively influence the </w:t>
      </w:r>
      <w:proofErr w:type="gramStart"/>
      <w:r w:rsidR="00A36C6E">
        <w:rPr>
          <w:rFonts w:ascii="Arial" w:hAnsi="Arial" w:cs="Arial"/>
          <w:sz w:val="24"/>
          <w:szCs w:val="24"/>
        </w:rPr>
        <w:t>behaviour</w:t>
      </w:r>
      <w:r w:rsidR="00A439EF">
        <w:rPr>
          <w:rFonts w:ascii="Arial" w:hAnsi="Arial" w:cs="Arial"/>
          <w:sz w:val="24"/>
          <w:szCs w:val="24"/>
        </w:rPr>
        <w:t>;</w:t>
      </w:r>
      <w:proofErr w:type="gramEnd"/>
    </w:p>
    <w:p w14:paraId="4739AEA0" w14:textId="77777777" w:rsidR="00A439EF" w:rsidRPr="00A439EF" w:rsidRDefault="00A439EF" w:rsidP="00A439EF">
      <w:pPr>
        <w:pStyle w:val="ListParagraph"/>
        <w:rPr>
          <w:rFonts w:ascii="Arial" w:hAnsi="Arial" w:cs="Arial"/>
          <w:sz w:val="24"/>
          <w:szCs w:val="24"/>
        </w:rPr>
      </w:pPr>
    </w:p>
    <w:p w14:paraId="21F1759C" w14:textId="343E4D28" w:rsidR="00A439EF" w:rsidRDefault="00A439EF" w:rsidP="00A5563C">
      <w:pPr>
        <w:pStyle w:val="ListParagraph"/>
        <w:numPr>
          <w:ilvl w:val="0"/>
          <w:numId w:val="6"/>
        </w:numPr>
        <w:rPr>
          <w:rFonts w:ascii="Arial" w:hAnsi="Arial" w:cs="Arial"/>
          <w:sz w:val="24"/>
          <w:szCs w:val="24"/>
        </w:rPr>
      </w:pPr>
      <w:r>
        <w:rPr>
          <w:rFonts w:ascii="Arial" w:hAnsi="Arial" w:cs="Arial"/>
          <w:sz w:val="24"/>
          <w:szCs w:val="24"/>
        </w:rPr>
        <w:t xml:space="preserve">Describe children’s functioning, needs and risks in relation to the parent’s skills and </w:t>
      </w:r>
      <w:proofErr w:type="gramStart"/>
      <w:r>
        <w:rPr>
          <w:rFonts w:ascii="Arial" w:hAnsi="Arial" w:cs="Arial"/>
          <w:sz w:val="24"/>
          <w:szCs w:val="24"/>
        </w:rPr>
        <w:t>de</w:t>
      </w:r>
      <w:r w:rsidR="0085072F">
        <w:rPr>
          <w:rFonts w:ascii="Arial" w:hAnsi="Arial" w:cs="Arial"/>
          <w:sz w:val="24"/>
          <w:szCs w:val="24"/>
        </w:rPr>
        <w:t>ficits;</w:t>
      </w:r>
      <w:proofErr w:type="gramEnd"/>
    </w:p>
    <w:p w14:paraId="32B027BB" w14:textId="77777777" w:rsidR="0085072F" w:rsidRPr="0085072F" w:rsidRDefault="0085072F" w:rsidP="0085072F">
      <w:pPr>
        <w:pStyle w:val="ListParagraph"/>
        <w:rPr>
          <w:rFonts w:ascii="Arial" w:hAnsi="Arial" w:cs="Arial"/>
          <w:sz w:val="24"/>
          <w:szCs w:val="24"/>
        </w:rPr>
      </w:pPr>
    </w:p>
    <w:p w14:paraId="5522CA1A" w14:textId="520B257E" w:rsidR="0085072F" w:rsidRDefault="0085072F" w:rsidP="00A5563C">
      <w:pPr>
        <w:pStyle w:val="ListParagraph"/>
        <w:numPr>
          <w:ilvl w:val="0"/>
          <w:numId w:val="6"/>
        </w:numPr>
        <w:rPr>
          <w:rFonts w:ascii="Arial" w:hAnsi="Arial" w:cs="Arial"/>
          <w:sz w:val="24"/>
          <w:szCs w:val="24"/>
        </w:rPr>
      </w:pPr>
      <w:r>
        <w:rPr>
          <w:rFonts w:ascii="Arial" w:hAnsi="Arial" w:cs="Arial"/>
          <w:sz w:val="24"/>
          <w:szCs w:val="24"/>
        </w:rPr>
        <w:t>Provide directions for intervention.</w:t>
      </w:r>
    </w:p>
    <w:p w14:paraId="6BF14F88" w14:textId="77777777" w:rsidR="00B873B9" w:rsidRPr="00B873B9" w:rsidRDefault="00B873B9" w:rsidP="00B873B9">
      <w:pPr>
        <w:pStyle w:val="ListParagraph"/>
        <w:rPr>
          <w:rFonts w:ascii="Arial" w:hAnsi="Arial" w:cs="Arial"/>
          <w:sz w:val="24"/>
          <w:szCs w:val="24"/>
        </w:rPr>
      </w:pPr>
    </w:p>
    <w:p w14:paraId="7EEF5CAB" w14:textId="3375CF57" w:rsidR="005F17C8" w:rsidRDefault="00B873B9" w:rsidP="00B873B9">
      <w:pPr>
        <w:rPr>
          <w:rFonts w:ascii="Arial" w:hAnsi="Arial" w:cs="Arial"/>
          <w:sz w:val="24"/>
          <w:szCs w:val="24"/>
        </w:rPr>
      </w:pPr>
      <w:r>
        <w:rPr>
          <w:rFonts w:ascii="Arial" w:hAnsi="Arial" w:cs="Arial"/>
          <w:sz w:val="24"/>
          <w:szCs w:val="24"/>
        </w:rPr>
        <w:t xml:space="preserve">Budd has </w:t>
      </w:r>
      <w:r w:rsidR="00A97F68">
        <w:rPr>
          <w:rFonts w:ascii="Arial" w:hAnsi="Arial" w:cs="Arial"/>
          <w:sz w:val="24"/>
          <w:szCs w:val="24"/>
        </w:rPr>
        <w:t xml:space="preserve">also </w:t>
      </w:r>
      <w:r w:rsidR="00B470AE">
        <w:rPr>
          <w:rFonts w:ascii="Arial" w:hAnsi="Arial" w:cs="Arial"/>
          <w:sz w:val="24"/>
          <w:szCs w:val="24"/>
        </w:rPr>
        <w:t xml:space="preserve">outlined </w:t>
      </w:r>
      <w:r w:rsidR="00387999">
        <w:rPr>
          <w:rFonts w:ascii="Arial" w:hAnsi="Arial" w:cs="Arial"/>
          <w:sz w:val="24"/>
          <w:szCs w:val="24"/>
        </w:rPr>
        <w:t>what Parenting Capacity Assessments cannot do</w:t>
      </w:r>
      <w:r w:rsidR="00434FA6">
        <w:rPr>
          <w:rFonts w:ascii="Arial" w:hAnsi="Arial" w:cs="Arial"/>
          <w:sz w:val="24"/>
          <w:szCs w:val="24"/>
        </w:rPr>
        <w:t>:</w:t>
      </w:r>
      <w:r w:rsidR="006E7EF2">
        <w:rPr>
          <w:rStyle w:val="FootnoteReference"/>
          <w:rFonts w:ascii="Arial" w:hAnsi="Arial" w:cs="Arial"/>
          <w:sz w:val="24"/>
          <w:szCs w:val="24"/>
        </w:rPr>
        <w:footnoteReference w:id="16"/>
      </w:r>
    </w:p>
    <w:p w14:paraId="026E8372" w14:textId="77777777" w:rsidR="006539DA" w:rsidRDefault="006539DA" w:rsidP="006539DA">
      <w:pPr>
        <w:pStyle w:val="ListParagraph"/>
        <w:rPr>
          <w:rFonts w:ascii="Arial" w:hAnsi="Arial" w:cs="Arial"/>
          <w:sz w:val="24"/>
          <w:szCs w:val="24"/>
        </w:rPr>
      </w:pPr>
    </w:p>
    <w:p w14:paraId="016B2637" w14:textId="2EC62462" w:rsidR="005716EB" w:rsidRDefault="005716EB" w:rsidP="005716EB">
      <w:pPr>
        <w:pStyle w:val="ListParagraph"/>
        <w:numPr>
          <w:ilvl w:val="0"/>
          <w:numId w:val="7"/>
        </w:numPr>
        <w:rPr>
          <w:rFonts w:ascii="Arial" w:hAnsi="Arial" w:cs="Arial"/>
          <w:sz w:val="24"/>
          <w:szCs w:val="24"/>
        </w:rPr>
      </w:pPr>
      <w:r>
        <w:rPr>
          <w:rFonts w:ascii="Arial" w:hAnsi="Arial" w:cs="Arial"/>
          <w:sz w:val="24"/>
          <w:szCs w:val="24"/>
        </w:rPr>
        <w:t>Compare an individual’s pa</w:t>
      </w:r>
      <w:r w:rsidR="00F95731" w:rsidRPr="005716EB">
        <w:rPr>
          <w:rFonts w:ascii="Arial" w:hAnsi="Arial" w:cs="Arial"/>
          <w:sz w:val="24"/>
          <w:szCs w:val="24"/>
        </w:rPr>
        <w:t xml:space="preserve">renting </w:t>
      </w:r>
      <w:r w:rsidR="005F17C8" w:rsidRPr="005716EB">
        <w:rPr>
          <w:rFonts w:ascii="Arial" w:hAnsi="Arial" w:cs="Arial"/>
          <w:sz w:val="24"/>
          <w:szCs w:val="24"/>
        </w:rPr>
        <w:t xml:space="preserve">capacity to any universal parenting </w:t>
      </w:r>
      <w:proofErr w:type="gramStart"/>
      <w:r w:rsidR="005F17C8" w:rsidRPr="005716EB">
        <w:rPr>
          <w:rFonts w:ascii="Arial" w:hAnsi="Arial" w:cs="Arial"/>
          <w:sz w:val="24"/>
          <w:szCs w:val="24"/>
        </w:rPr>
        <w:t>standard</w:t>
      </w:r>
      <w:r>
        <w:rPr>
          <w:rFonts w:ascii="Arial" w:hAnsi="Arial" w:cs="Arial"/>
          <w:sz w:val="24"/>
          <w:szCs w:val="24"/>
        </w:rPr>
        <w:t>;</w:t>
      </w:r>
      <w:proofErr w:type="gramEnd"/>
    </w:p>
    <w:p w14:paraId="402AA2BA" w14:textId="77777777" w:rsidR="00AA5A69" w:rsidRDefault="00AA5A69" w:rsidP="00AA5A69">
      <w:pPr>
        <w:pStyle w:val="ListParagraph"/>
        <w:rPr>
          <w:rFonts w:ascii="Arial" w:hAnsi="Arial" w:cs="Arial"/>
          <w:sz w:val="24"/>
          <w:szCs w:val="24"/>
        </w:rPr>
      </w:pPr>
    </w:p>
    <w:p w14:paraId="2405B6C5" w14:textId="3EB193A2" w:rsidR="00D072DD" w:rsidRDefault="00D072DD" w:rsidP="005716EB">
      <w:pPr>
        <w:pStyle w:val="ListParagraph"/>
        <w:numPr>
          <w:ilvl w:val="0"/>
          <w:numId w:val="7"/>
        </w:numPr>
        <w:rPr>
          <w:rFonts w:ascii="Arial" w:hAnsi="Arial" w:cs="Arial"/>
          <w:sz w:val="24"/>
          <w:szCs w:val="24"/>
        </w:rPr>
      </w:pPr>
      <w:r>
        <w:rPr>
          <w:rFonts w:ascii="Arial" w:hAnsi="Arial" w:cs="Arial"/>
          <w:sz w:val="24"/>
          <w:szCs w:val="24"/>
        </w:rPr>
        <w:t xml:space="preserve">Predict parenting capacity from a mental health </w:t>
      </w:r>
      <w:proofErr w:type="gramStart"/>
      <w:r>
        <w:rPr>
          <w:rFonts w:ascii="Arial" w:hAnsi="Arial" w:cs="Arial"/>
          <w:sz w:val="24"/>
          <w:szCs w:val="24"/>
        </w:rPr>
        <w:t>diagnosis;</w:t>
      </w:r>
      <w:proofErr w:type="gramEnd"/>
    </w:p>
    <w:p w14:paraId="7C400CFC" w14:textId="77777777" w:rsidR="00AA5A69" w:rsidRPr="00AA5A69" w:rsidRDefault="00AA5A69" w:rsidP="00AA5A69">
      <w:pPr>
        <w:pStyle w:val="ListParagraph"/>
        <w:rPr>
          <w:rFonts w:ascii="Arial" w:hAnsi="Arial" w:cs="Arial"/>
          <w:sz w:val="24"/>
          <w:szCs w:val="24"/>
        </w:rPr>
      </w:pPr>
    </w:p>
    <w:p w14:paraId="4615F05D" w14:textId="286C373A" w:rsidR="00BC7D6C" w:rsidRDefault="00D072DD" w:rsidP="005716EB">
      <w:pPr>
        <w:pStyle w:val="ListParagraph"/>
        <w:numPr>
          <w:ilvl w:val="0"/>
          <w:numId w:val="7"/>
        </w:numPr>
        <w:rPr>
          <w:rFonts w:ascii="Arial" w:hAnsi="Arial" w:cs="Arial"/>
          <w:sz w:val="24"/>
          <w:szCs w:val="24"/>
        </w:rPr>
      </w:pPr>
      <w:r>
        <w:rPr>
          <w:rFonts w:ascii="Arial" w:hAnsi="Arial" w:cs="Arial"/>
          <w:sz w:val="24"/>
          <w:szCs w:val="24"/>
        </w:rPr>
        <w:t>Rule out the effects of situational influences (</w:t>
      </w:r>
      <w:proofErr w:type="gramStart"/>
      <w:r>
        <w:rPr>
          <w:rFonts w:ascii="Arial" w:hAnsi="Arial" w:cs="Arial"/>
          <w:sz w:val="24"/>
          <w:szCs w:val="24"/>
        </w:rPr>
        <w:t>e.g.</w:t>
      </w:r>
      <w:proofErr w:type="gramEnd"/>
      <w:r>
        <w:rPr>
          <w:rFonts w:ascii="Arial" w:hAnsi="Arial" w:cs="Arial"/>
          <w:sz w:val="24"/>
          <w:szCs w:val="24"/>
        </w:rPr>
        <w:t xml:space="preserve"> current stressors, cultural issues</w:t>
      </w:r>
      <w:r w:rsidR="00BC7D6C">
        <w:rPr>
          <w:rFonts w:ascii="Arial" w:hAnsi="Arial" w:cs="Arial"/>
          <w:sz w:val="24"/>
          <w:szCs w:val="24"/>
        </w:rPr>
        <w:t>, time limitations) on the assessment process;</w:t>
      </w:r>
    </w:p>
    <w:p w14:paraId="4DC0BC72" w14:textId="77777777" w:rsidR="00AA5A69" w:rsidRPr="00AA5A69" w:rsidRDefault="00AA5A69" w:rsidP="00AA5A69">
      <w:pPr>
        <w:pStyle w:val="ListParagraph"/>
        <w:rPr>
          <w:rFonts w:ascii="Arial" w:hAnsi="Arial" w:cs="Arial"/>
          <w:sz w:val="24"/>
          <w:szCs w:val="24"/>
        </w:rPr>
      </w:pPr>
    </w:p>
    <w:p w14:paraId="10AA2F9D" w14:textId="2A9B450A" w:rsidR="00B873B9" w:rsidRPr="005716EB" w:rsidRDefault="00BC7D6C" w:rsidP="005716EB">
      <w:pPr>
        <w:pStyle w:val="ListParagraph"/>
        <w:numPr>
          <w:ilvl w:val="0"/>
          <w:numId w:val="7"/>
        </w:numPr>
        <w:rPr>
          <w:rFonts w:ascii="Arial" w:hAnsi="Arial" w:cs="Arial"/>
          <w:sz w:val="24"/>
          <w:szCs w:val="24"/>
        </w:rPr>
      </w:pPr>
      <w:r>
        <w:rPr>
          <w:rFonts w:ascii="Arial" w:hAnsi="Arial" w:cs="Arial"/>
          <w:sz w:val="24"/>
          <w:szCs w:val="24"/>
        </w:rPr>
        <w:t>Predict future behaviour with certaint</w:t>
      </w:r>
      <w:r w:rsidR="006E7EF2">
        <w:rPr>
          <w:rFonts w:ascii="Arial" w:hAnsi="Arial" w:cs="Arial"/>
          <w:sz w:val="24"/>
          <w:szCs w:val="24"/>
        </w:rPr>
        <w:t>y.</w:t>
      </w:r>
      <w:r w:rsidR="005F17C8" w:rsidRPr="005716EB">
        <w:rPr>
          <w:rFonts w:ascii="Arial" w:hAnsi="Arial" w:cs="Arial"/>
          <w:sz w:val="24"/>
          <w:szCs w:val="24"/>
        </w:rPr>
        <w:t xml:space="preserve"> </w:t>
      </w:r>
    </w:p>
    <w:p w14:paraId="72503FDF" w14:textId="3F67103A" w:rsidR="004D605A" w:rsidRDefault="004D605A" w:rsidP="004D605A">
      <w:pPr>
        <w:pStyle w:val="ListParagraph"/>
        <w:rPr>
          <w:rFonts w:ascii="Arial" w:hAnsi="Arial" w:cs="Arial"/>
          <w:sz w:val="24"/>
          <w:szCs w:val="24"/>
        </w:rPr>
      </w:pPr>
    </w:p>
    <w:p w14:paraId="6FE65870" w14:textId="77777777" w:rsidR="00DC3E7A" w:rsidRDefault="00DC3E7A" w:rsidP="004D605A">
      <w:pPr>
        <w:pStyle w:val="ListParagraph"/>
        <w:rPr>
          <w:rFonts w:ascii="Arial" w:hAnsi="Arial" w:cs="Arial"/>
          <w:sz w:val="24"/>
          <w:szCs w:val="24"/>
        </w:rPr>
      </w:pPr>
    </w:p>
    <w:p w14:paraId="6D1FA6D6" w14:textId="4D2F5441" w:rsidR="004D605A" w:rsidRPr="005B2596" w:rsidRDefault="00D95C30" w:rsidP="004D605A">
      <w:pPr>
        <w:rPr>
          <w:rFonts w:ascii="Arial" w:hAnsi="Arial" w:cs="Arial"/>
          <w:b/>
          <w:bCs/>
          <w:sz w:val="24"/>
          <w:szCs w:val="24"/>
        </w:rPr>
      </w:pPr>
      <w:r w:rsidRPr="005B2596">
        <w:rPr>
          <w:rFonts w:ascii="Arial" w:hAnsi="Arial" w:cs="Arial"/>
          <w:b/>
          <w:bCs/>
          <w:sz w:val="24"/>
          <w:szCs w:val="24"/>
        </w:rPr>
        <w:lastRenderedPageBreak/>
        <w:t xml:space="preserve">A </w:t>
      </w:r>
      <w:r w:rsidR="00732E2E" w:rsidRPr="005B2596">
        <w:rPr>
          <w:rFonts w:ascii="Arial" w:hAnsi="Arial" w:cs="Arial"/>
          <w:b/>
          <w:bCs/>
          <w:sz w:val="24"/>
          <w:szCs w:val="24"/>
        </w:rPr>
        <w:t xml:space="preserve">Forensic </w:t>
      </w:r>
      <w:r w:rsidRPr="005B2596">
        <w:rPr>
          <w:rFonts w:ascii="Arial" w:hAnsi="Arial" w:cs="Arial"/>
          <w:b/>
          <w:bCs/>
          <w:sz w:val="24"/>
          <w:szCs w:val="24"/>
        </w:rPr>
        <w:t xml:space="preserve">Approach to Parenting Capacity </w:t>
      </w:r>
      <w:r w:rsidR="00F710F6" w:rsidRPr="005B2596">
        <w:rPr>
          <w:rFonts w:ascii="Arial" w:hAnsi="Arial" w:cs="Arial"/>
          <w:b/>
          <w:bCs/>
          <w:sz w:val="24"/>
          <w:szCs w:val="24"/>
        </w:rPr>
        <w:t>Assessment</w:t>
      </w:r>
    </w:p>
    <w:p w14:paraId="19D1C6AC" w14:textId="1AA83E60" w:rsidR="00A56165" w:rsidRDefault="00C323D0" w:rsidP="00F710F6">
      <w:pPr>
        <w:rPr>
          <w:rFonts w:ascii="Arial" w:hAnsi="Arial" w:cs="Arial"/>
          <w:sz w:val="24"/>
          <w:szCs w:val="24"/>
        </w:rPr>
      </w:pPr>
      <w:r>
        <w:rPr>
          <w:rFonts w:ascii="Arial" w:hAnsi="Arial" w:cs="Arial"/>
          <w:sz w:val="24"/>
          <w:szCs w:val="24"/>
        </w:rPr>
        <w:t xml:space="preserve">The purpose of a clinical assessment is to </w:t>
      </w:r>
      <w:r w:rsidR="00C36597">
        <w:rPr>
          <w:rFonts w:ascii="Arial" w:hAnsi="Arial" w:cs="Arial"/>
          <w:sz w:val="24"/>
          <w:szCs w:val="24"/>
        </w:rPr>
        <w:t xml:space="preserve">provide a </w:t>
      </w:r>
      <w:r>
        <w:rPr>
          <w:rFonts w:ascii="Arial" w:hAnsi="Arial" w:cs="Arial"/>
          <w:sz w:val="24"/>
          <w:szCs w:val="24"/>
        </w:rPr>
        <w:t>diagnos</w:t>
      </w:r>
      <w:r w:rsidR="00C36597">
        <w:rPr>
          <w:rFonts w:ascii="Arial" w:hAnsi="Arial" w:cs="Arial"/>
          <w:sz w:val="24"/>
          <w:szCs w:val="24"/>
        </w:rPr>
        <w:t>is</w:t>
      </w:r>
      <w:r>
        <w:rPr>
          <w:rFonts w:ascii="Arial" w:hAnsi="Arial" w:cs="Arial"/>
          <w:sz w:val="24"/>
          <w:szCs w:val="24"/>
        </w:rPr>
        <w:t xml:space="preserve"> and treat</w:t>
      </w:r>
      <w:r w:rsidR="00C36597">
        <w:rPr>
          <w:rFonts w:ascii="Arial" w:hAnsi="Arial" w:cs="Arial"/>
          <w:sz w:val="24"/>
          <w:szCs w:val="24"/>
        </w:rPr>
        <w:t>ment recommendations</w:t>
      </w:r>
      <w:r>
        <w:rPr>
          <w:rFonts w:ascii="Arial" w:hAnsi="Arial" w:cs="Arial"/>
          <w:sz w:val="24"/>
          <w:szCs w:val="24"/>
        </w:rPr>
        <w:t>.</w:t>
      </w:r>
      <w:r w:rsidR="00032F96">
        <w:rPr>
          <w:rFonts w:ascii="Arial" w:hAnsi="Arial" w:cs="Arial"/>
          <w:sz w:val="24"/>
          <w:szCs w:val="24"/>
        </w:rPr>
        <w:t xml:space="preserve">  Forensic assessments</w:t>
      </w:r>
      <w:r w:rsidR="001F73EA">
        <w:rPr>
          <w:rFonts w:ascii="Arial" w:hAnsi="Arial" w:cs="Arial"/>
          <w:sz w:val="24"/>
          <w:szCs w:val="24"/>
        </w:rPr>
        <w:t xml:space="preserve"> are </w:t>
      </w:r>
      <w:r w:rsidR="00032F96">
        <w:rPr>
          <w:rFonts w:ascii="Arial" w:hAnsi="Arial" w:cs="Arial"/>
          <w:sz w:val="24"/>
          <w:szCs w:val="24"/>
        </w:rPr>
        <w:t xml:space="preserve">evaluations conducted </w:t>
      </w:r>
      <w:r w:rsidR="00231C6F">
        <w:rPr>
          <w:rFonts w:ascii="Arial" w:hAnsi="Arial" w:cs="Arial"/>
          <w:sz w:val="24"/>
          <w:szCs w:val="24"/>
        </w:rPr>
        <w:t xml:space="preserve">by a properly qualified </w:t>
      </w:r>
      <w:r w:rsidR="00241864">
        <w:rPr>
          <w:rFonts w:ascii="Arial" w:hAnsi="Arial" w:cs="Arial"/>
          <w:sz w:val="24"/>
          <w:szCs w:val="24"/>
        </w:rPr>
        <w:t xml:space="preserve">expert </w:t>
      </w:r>
      <w:r w:rsidR="009778AC">
        <w:rPr>
          <w:rFonts w:ascii="Arial" w:hAnsi="Arial" w:cs="Arial"/>
          <w:sz w:val="24"/>
          <w:szCs w:val="24"/>
        </w:rPr>
        <w:t xml:space="preserve">to assist a </w:t>
      </w:r>
      <w:r w:rsidR="00231C6F">
        <w:rPr>
          <w:rFonts w:ascii="Arial" w:hAnsi="Arial" w:cs="Arial"/>
          <w:sz w:val="24"/>
          <w:szCs w:val="24"/>
        </w:rPr>
        <w:t>court to “</w:t>
      </w:r>
      <w:r w:rsidR="004C542D">
        <w:rPr>
          <w:rFonts w:ascii="Arial" w:hAnsi="Arial" w:cs="Arial"/>
          <w:sz w:val="24"/>
          <w:szCs w:val="24"/>
        </w:rPr>
        <w:t xml:space="preserve">identify the examinee’s functional capacity or impairment </w:t>
      </w:r>
      <w:r w:rsidR="000D01A5">
        <w:rPr>
          <w:rFonts w:ascii="Arial" w:hAnsi="Arial" w:cs="Arial"/>
          <w:sz w:val="24"/>
          <w:szCs w:val="24"/>
        </w:rPr>
        <w:t xml:space="preserve">directly relevant to </w:t>
      </w:r>
      <w:r w:rsidR="004D42FA">
        <w:rPr>
          <w:rFonts w:ascii="Arial" w:hAnsi="Arial" w:cs="Arial"/>
          <w:sz w:val="24"/>
          <w:szCs w:val="24"/>
        </w:rPr>
        <w:t>the legal issue before the court</w:t>
      </w:r>
      <w:r w:rsidR="001F73EA">
        <w:rPr>
          <w:rFonts w:ascii="Arial" w:hAnsi="Arial" w:cs="Arial"/>
          <w:sz w:val="24"/>
          <w:szCs w:val="24"/>
        </w:rPr>
        <w:t>”</w:t>
      </w:r>
      <w:r w:rsidR="004D42FA">
        <w:rPr>
          <w:rFonts w:ascii="Arial" w:hAnsi="Arial" w:cs="Arial"/>
          <w:sz w:val="24"/>
          <w:szCs w:val="24"/>
        </w:rPr>
        <w:t>.</w:t>
      </w:r>
      <w:r w:rsidR="001F73EA">
        <w:rPr>
          <w:rStyle w:val="FootnoteReference"/>
          <w:rFonts w:ascii="Arial" w:hAnsi="Arial" w:cs="Arial"/>
          <w:sz w:val="24"/>
          <w:szCs w:val="24"/>
        </w:rPr>
        <w:footnoteReference w:id="17"/>
      </w:r>
      <w:r w:rsidR="002D4AD3">
        <w:rPr>
          <w:rFonts w:ascii="Arial" w:hAnsi="Arial" w:cs="Arial"/>
          <w:sz w:val="24"/>
          <w:szCs w:val="24"/>
        </w:rPr>
        <w:t xml:space="preserve">  </w:t>
      </w:r>
      <w:r w:rsidR="00A906F1">
        <w:rPr>
          <w:rFonts w:ascii="Arial" w:hAnsi="Arial" w:cs="Arial"/>
          <w:sz w:val="24"/>
          <w:szCs w:val="24"/>
        </w:rPr>
        <w:t>In the child protection context, t</w:t>
      </w:r>
      <w:r w:rsidR="0001315E">
        <w:rPr>
          <w:rFonts w:ascii="Arial" w:hAnsi="Arial" w:cs="Arial"/>
          <w:sz w:val="24"/>
          <w:szCs w:val="24"/>
        </w:rPr>
        <w:t xml:space="preserve">he purpose of a </w:t>
      </w:r>
      <w:r w:rsidR="00F136C4">
        <w:rPr>
          <w:rFonts w:ascii="Arial" w:hAnsi="Arial" w:cs="Arial"/>
          <w:sz w:val="24"/>
          <w:szCs w:val="24"/>
        </w:rPr>
        <w:t xml:space="preserve">forensic assessment is to </w:t>
      </w:r>
      <w:r w:rsidR="00D20574">
        <w:rPr>
          <w:rFonts w:ascii="Arial" w:hAnsi="Arial" w:cs="Arial"/>
          <w:sz w:val="24"/>
          <w:szCs w:val="24"/>
        </w:rPr>
        <w:t>provide</w:t>
      </w:r>
      <w:r w:rsidR="002C000D">
        <w:rPr>
          <w:rFonts w:ascii="Arial" w:hAnsi="Arial" w:cs="Arial"/>
          <w:sz w:val="24"/>
          <w:szCs w:val="24"/>
        </w:rPr>
        <w:t xml:space="preserve"> relevant</w:t>
      </w:r>
      <w:r w:rsidR="002256EB">
        <w:rPr>
          <w:rFonts w:ascii="Arial" w:hAnsi="Arial" w:cs="Arial"/>
          <w:sz w:val="24"/>
          <w:szCs w:val="24"/>
        </w:rPr>
        <w:t>,</w:t>
      </w:r>
      <w:r w:rsidR="002C000D">
        <w:rPr>
          <w:rFonts w:ascii="Arial" w:hAnsi="Arial" w:cs="Arial"/>
          <w:sz w:val="24"/>
          <w:szCs w:val="24"/>
        </w:rPr>
        <w:t xml:space="preserve"> reliable </w:t>
      </w:r>
      <w:r w:rsidR="00D20574">
        <w:rPr>
          <w:rFonts w:ascii="Arial" w:hAnsi="Arial" w:cs="Arial"/>
          <w:sz w:val="24"/>
          <w:szCs w:val="24"/>
        </w:rPr>
        <w:t xml:space="preserve">independent and objective opinion </w:t>
      </w:r>
      <w:r w:rsidR="002C000D">
        <w:rPr>
          <w:rFonts w:ascii="Arial" w:hAnsi="Arial" w:cs="Arial"/>
          <w:sz w:val="24"/>
          <w:szCs w:val="24"/>
        </w:rPr>
        <w:t xml:space="preserve">evidence to the court to assist the trier of fact </w:t>
      </w:r>
      <w:r w:rsidR="00B601F5">
        <w:rPr>
          <w:rFonts w:ascii="Arial" w:hAnsi="Arial" w:cs="Arial"/>
          <w:sz w:val="24"/>
          <w:szCs w:val="24"/>
        </w:rPr>
        <w:t>in making</w:t>
      </w:r>
      <w:r w:rsidR="002C000D">
        <w:rPr>
          <w:rFonts w:ascii="Arial" w:hAnsi="Arial" w:cs="Arial"/>
          <w:sz w:val="24"/>
          <w:szCs w:val="24"/>
        </w:rPr>
        <w:t xml:space="preserve"> </w:t>
      </w:r>
      <w:r w:rsidR="00E120EB">
        <w:rPr>
          <w:rFonts w:ascii="Arial" w:hAnsi="Arial" w:cs="Arial"/>
          <w:sz w:val="24"/>
          <w:szCs w:val="24"/>
        </w:rPr>
        <w:t xml:space="preserve">determinations about </w:t>
      </w:r>
      <w:r w:rsidR="008D171D">
        <w:rPr>
          <w:rFonts w:ascii="Arial" w:hAnsi="Arial" w:cs="Arial"/>
          <w:sz w:val="24"/>
          <w:szCs w:val="24"/>
        </w:rPr>
        <w:t xml:space="preserve">the </w:t>
      </w:r>
      <w:r w:rsidR="00A906F1">
        <w:rPr>
          <w:rFonts w:ascii="Arial" w:hAnsi="Arial" w:cs="Arial"/>
          <w:sz w:val="24"/>
          <w:szCs w:val="24"/>
        </w:rPr>
        <w:t>paren</w:t>
      </w:r>
      <w:r w:rsidR="009A307E">
        <w:rPr>
          <w:rFonts w:ascii="Arial" w:hAnsi="Arial" w:cs="Arial"/>
          <w:sz w:val="24"/>
          <w:szCs w:val="24"/>
        </w:rPr>
        <w:t>ting skills and deficits of the parent before the</w:t>
      </w:r>
      <w:r w:rsidR="001026D5">
        <w:rPr>
          <w:rFonts w:ascii="Arial" w:hAnsi="Arial" w:cs="Arial"/>
          <w:sz w:val="24"/>
          <w:szCs w:val="24"/>
        </w:rPr>
        <w:t>m</w:t>
      </w:r>
      <w:r w:rsidR="009A307E">
        <w:rPr>
          <w:rFonts w:ascii="Arial" w:hAnsi="Arial" w:cs="Arial"/>
          <w:sz w:val="24"/>
          <w:szCs w:val="24"/>
        </w:rPr>
        <w:t>.</w:t>
      </w:r>
    </w:p>
    <w:p w14:paraId="4D1E4415" w14:textId="74744494" w:rsidR="00842C56" w:rsidRDefault="009C477C" w:rsidP="00F710F6">
      <w:pPr>
        <w:rPr>
          <w:rFonts w:ascii="Arial" w:hAnsi="Arial" w:cs="Arial"/>
          <w:sz w:val="24"/>
          <w:szCs w:val="24"/>
        </w:rPr>
      </w:pPr>
      <w:r>
        <w:rPr>
          <w:rFonts w:ascii="Arial" w:hAnsi="Arial" w:cs="Arial"/>
          <w:sz w:val="24"/>
          <w:szCs w:val="24"/>
        </w:rPr>
        <w:t xml:space="preserve">Unfortunately, </w:t>
      </w:r>
      <w:r w:rsidR="00696747">
        <w:rPr>
          <w:rFonts w:ascii="Arial" w:hAnsi="Arial" w:cs="Arial"/>
          <w:sz w:val="24"/>
          <w:szCs w:val="24"/>
        </w:rPr>
        <w:t xml:space="preserve">very few clinicians have the </w:t>
      </w:r>
      <w:r w:rsidR="005D4B62">
        <w:rPr>
          <w:rFonts w:ascii="Arial" w:hAnsi="Arial" w:cs="Arial"/>
          <w:sz w:val="24"/>
          <w:szCs w:val="24"/>
        </w:rPr>
        <w:t xml:space="preserve">training or the </w:t>
      </w:r>
      <w:r w:rsidR="00696747">
        <w:rPr>
          <w:rFonts w:ascii="Arial" w:hAnsi="Arial" w:cs="Arial"/>
          <w:sz w:val="24"/>
          <w:szCs w:val="24"/>
        </w:rPr>
        <w:t>breadth of professional expertise necessary</w:t>
      </w:r>
      <w:r w:rsidR="00FB432A">
        <w:rPr>
          <w:rFonts w:ascii="Arial" w:hAnsi="Arial" w:cs="Arial"/>
          <w:sz w:val="24"/>
          <w:szCs w:val="24"/>
        </w:rPr>
        <w:t xml:space="preserve"> to conduct </w:t>
      </w:r>
      <w:r w:rsidR="00905B53">
        <w:rPr>
          <w:rFonts w:ascii="Arial" w:hAnsi="Arial" w:cs="Arial"/>
          <w:sz w:val="24"/>
          <w:szCs w:val="24"/>
        </w:rPr>
        <w:t>a forensic parenting capacity assessment.</w:t>
      </w:r>
      <w:r w:rsidR="00905B53">
        <w:rPr>
          <w:rStyle w:val="FootnoteReference"/>
          <w:rFonts w:ascii="Arial" w:hAnsi="Arial" w:cs="Arial"/>
          <w:sz w:val="24"/>
          <w:szCs w:val="24"/>
        </w:rPr>
        <w:footnoteReference w:id="18"/>
      </w:r>
      <w:r w:rsidR="00382037">
        <w:rPr>
          <w:rFonts w:ascii="Arial" w:hAnsi="Arial" w:cs="Arial"/>
          <w:sz w:val="24"/>
          <w:szCs w:val="24"/>
        </w:rPr>
        <w:t xml:space="preserve"> </w:t>
      </w:r>
      <w:r w:rsidR="007A2695">
        <w:rPr>
          <w:rFonts w:ascii="Arial" w:hAnsi="Arial" w:cs="Arial"/>
          <w:sz w:val="24"/>
          <w:szCs w:val="24"/>
        </w:rPr>
        <w:t xml:space="preserve">Authors in this field have described these assessments </w:t>
      </w:r>
      <w:r w:rsidR="0003775F">
        <w:rPr>
          <w:rFonts w:ascii="Arial" w:hAnsi="Arial" w:cs="Arial"/>
          <w:sz w:val="24"/>
          <w:szCs w:val="24"/>
        </w:rPr>
        <w:t xml:space="preserve">as </w:t>
      </w:r>
      <w:r w:rsidR="006825F6">
        <w:rPr>
          <w:rFonts w:ascii="Arial" w:hAnsi="Arial" w:cs="Arial"/>
          <w:sz w:val="24"/>
          <w:szCs w:val="24"/>
        </w:rPr>
        <w:t>some of the most challenging work that a clinician can undertake</w:t>
      </w:r>
      <w:r w:rsidR="006A2A32">
        <w:rPr>
          <w:rFonts w:ascii="Arial" w:hAnsi="Arial" w:cs="Arial"/>
          <w:sz w:val="24"/>
          <w:szCs w:val="24"/>
        </w:rPr>
        <w:t xml:space="preserve">.  </w:t>
      </w:r>
      <w:r w:rsidR="00D037F0">
        <w:rPr>
          <w:rFonts w:ascii="Arial" w:hAnsi="Arial" w:cs="Arial"/>
          <w:sz w:val="24"/>
          <w:szCs w:val="24"/>
        </w:rPr>
        <w:t xml:space="preserve">Assessors require </w:t>
      </w:r>
      <w:r w:rsidR="00494DF1">
        <w:rPr>
          <w:rFonts w:ascii="Arial" w:hAnsi="Arial" w:cs="Arial"/>
          <w:sz w:val="24"/>
          <w:szCs w:val="24"/>
        </w:rPr>
        <w:t>expertise in child</w:t>
      </w:r>
      <w:r w:rsidR="00645F7A">
        <w:rPr>
          <w:rFonts w:ascii="Arial" w:hAnsi="Arial" w:cs="Arial"/>
          <w:sz w:val="24"/>
          <w:szCs w:val="24"/>
        </w:rPr>
        <w:t xml:space="preserve"> development, adult mental health</w:t>
      </w:r>
      <w:r w:rsidR="003D7A00">
        <w:rPr>
          <w:rFonts w:ascii="Arial" w:hAnsi="Arial" w:cs="Arial"/>
          <w:sz w:val="24"/>
          <w:szCs w:val="24"/>
        </w:rPr>
        <w:t xml:space="preserve"> and</w:t>
      </w:r>
      <w:r w:rsidR="00AF059C">
        <w:rPr>
          <w:rFonts w:ascii="Arial" w:hAnsi="Arial" w:cs="Arial"/>
          <w:sz w:val="24"/>
          <w:szCs w:val="24"/>
        </w:rPr>
        <w:t xml:space="preserve"> the impact of parental addictions, family violence or mental health issues on parenting capacity</w:t>
      </w:r>
      <w:r w:rsidR="002054AB">
        <w:rPr>
          <w:rFonts w:ascii="Arial" w:hAnsi="Arial" w:cs="Arial"/>
          <w:sz w:val="24"/>
          <w:szCs w:val="24"/>
        </w:rPr>
        <w:t xml:space="preserve"> including </w:t>
      </w:r>
      <w:r w:rsidR="002F25D4">
        <w:rPr>
          <w:rFonts w:ascii="Arial" w:hAnsi="Arial" w:cs="Arial"/>
          <w:sz w:val="24"/>
          <w:szCs w:val="24"/>
        </w:rPr>
        <w:t xml:space="preserve">the ability to assess </w:t>
      </w:r>
      <w:r w:rsidR="00A875B2">
        <w:rPr>
          <w:rFonts w:ascii="Arial" w:hAnsi="Arial" w:cs="Arial"/>
          <w:sz w:val="24"/>
          <w:szCs w:val="24"/>
        </w:rPr>
        <w:t xml:space="preserve">the </w:t>
      </w:r>
      <w:r w:rsidR="00DA365B">
        <w:rPr>
          <w:rFonts w:ascii="Arial" w:hAnsi="Arial" w:cs="Arial"/>
          <w:sz w:val="24"/>
          <w:szCs w:val="24"/>
        </w:rPr>
        <w:t xml:space="preserve">impact </w:t>
      </w:r>
      <w:r w:rsidR="00A875B2">
        <w:rPr>
          <w:rFonts w:ascii="Arial" w:hAnsi="Arial" w:cs="Arial"/>
          <w:sz w:val="24"/>
          <w:szCs w:val="24"/>
        </w:rPr>
        <w:t>of available interventions and the capacity for change in the parent.</w:t>
      </w:r>
      <w:r w:rsidR="00A875B2">
        <w:rPr>
          <w:rStyle w:val="FootnoteReference"/>
          <w:rFonts w:ascii="Arial" w:hAnsi="Arial" w:cs="Arial"/>
          <w:sz w:val="24"/>
          <w:szCs w:val="24"/>
        </w:rPr>
        <w:footnoteReference w:id="19"/>
      </w:r>
      <w:r w:rsidR="00AB069F">
        <w:rPr>
          <w:rFonts w:ascii="Arial" w:hAnsi="Arial" w:cs="Arial"/>
          <w:sz w:val="24"/>
          <w:szCs w:val="24"/>
        </w:rPr>
        <w:t xml:space="preserve">  </w:t>
      </w:r>
      <w:r w:rsidR="004131EB">
        <w:rPr>
          <w:rFonts w:ascii="Arial" w:hAnsi="Arial" w:cs="Arial"/>
          <w:sz w:val="24"/>
          <w:szCs w:val="24"/>
        </w:rPr>
        <w:t xml:space="preserve">It has also been noted that </w:t>
      </w:r>
      <w:r w:rsidR="00FD1265">
        <w:rPr>
          <w:rFonts w:ascii="Arial" w:hAnsi="Arial" w:cs="Arial"/>
          <w:sz w:val="24"/>
          <w:szCs w:val="24"/>
        </w:rPr>
        <w:t>there is very little training</w:t>
      </w:r>
      <w:r w:rsidR="0089441B">
        <w:rPr>
          <w:rFonts w:ascii="Arial" w:hAnsi="Arial" w:cs="Arial"/>
          <w:sz w:val="24"/>
          <w:szCs w:val="24"/>
        </w:rPr>
        <w:t xml:space="preserve">, preparation or ongoing guidance </w:t>
      </w:r>
      <w:r w:rsidR="00AB069F">
        <w:rPr>
          <w:rFonts w:ascii="Arial" w:hAnsi="Arial" w:cs="Arial"/>
          <w:sz w:val="24"/>
          <w:szCs w:val="24"/>
        </w:rPr>
        <w:t xml:space="preserve">for assessors </w:t>
      </w:r>
      <w:r w:rsidR="00441AF5">
        <w:rPr>
          <w:rFonts w:ascii="Arial" w:hAnsi="Arial" w:cs="Arial"/>
          <w:sz w:val="24"/>
          <w:szCs w:val="24"/>
        </w:rPr>
        <w:t xml:space="preserve">and </w:t>
      </w:r>
      <w:r w:rsidR="00BD15F3">
        <w:rPr>
          <w:rFonts w:ascii="Arial" w:hAnsi="Arial" w:cs="Arial"/>
          <w:sz w:val="24"/>
          <w:szCs w:val="24"/>
        </w:rPr>
        <w:t xml:space="preserve">that the necessary </w:t>
      </w:r>
      <w:r w:rsidR="00441AF5">
        <w:rPr>
          <w:rFonts w:ascii="Arial" w:hAnsi="Arial" w:cs="Arial"/>
          <w:sz w:val="24"/>
          <w:szCs w:val="24"/>
        </w:rPr>
        <w:t>skills are often acquired in a piecemeal fashion</w:t>
      </w:r>
      <w:r w:rsidR="00FB732E">
        <w:rPr>
          <w:rFonts w:ascii="Arial" w:hAnsi="Arial" w:cs="Arial"/>
          <w:sz w:val="24"/>
          <w:szCs w:val="24"/>
        </w:rPr>
        <w:t>, through tria</w:t>
      </w:r>
      <w:r w:rsidR="0024047B">
        <w:rPr>
          <w:rFonts w:ascii="Arial" w:hAnsi="Arial" w:cs="Arial"/>
          <w:sz w:val="24"/>
          <w:szCs w:val="24"/>
        </w:rPr>
        <w:t>l and error and informal discussion with colleagues.</w:t>
      </w:r>
      <w:r w:rsidR="00441AF5">
        <w:rPr>
          <w:rStyle w:val="FootnoteReference"/>
          <w:rFonts w:ascii="Arial" w:hAnsi="Arial" w:cs="Arial"/>
          <w:sz w:val="24"/>
          <w:szCs w:val="24"/>
        </w:rPr>
        <w:footnoteReference w:id="20"/>
      </w:r>
      <w:r w:rsidR="00CC3F4E">
        <w:rPr>
          <w:rFonts w:ascii="Arial" w:hAnsi="Arial" w:cs="Arial"/>
          <w:sz w:val="24"/>
          <w:szCs w:val="24"/>
        </w:rPr>
        <w:t xml:space="preserve">  </w:t>
      </w:r>
    </w:p>
    <w:p w14:paraId="3BBED256" w14:textId="463297DC" w:rsidR="00DA47ED" w:rsidRDefault="00B67A6C" w:rsidP="00F710F6">
      <w:pPr>
        <w:rPr>
          <w:rFonts w:ascii="Arial" w:hAnsi="Arial" w:cs="Arial"/>
          <w:sz w:val="24"/>
          <w:szCs w:val="24"/>
        </w:rPr>
      </w:pPr>
      <w:r>
        <w:rPr>
          <w:rFonts w:ascii="Arial" w:hAnsi="Arial" w:cs="Arial"/>
          <w:sz w:val="24"/>
          <w:szCs w:val="24"/>
        </w:rPr>
        <w:t xml:space="preserve">Attempts to develop </w:t>
      </w:r>
      <w:r w:rsidR="00E137BA">
        <w:rPr>
          <w:rFonts w:ascii="Arial" w:hAnsi="Arial" w:cs="Arial"/>
          <w:sz w:val="24"/>
          <w:szCs w:val="24"/>
        </w:rPr>
        <w:t xml:space="preserve">forensic </w:t>
      </w:r>
      <w:r>
        <w:rPr>
          <w:rFonts w:ascii="Arial" w:hAnsi="Arial" w:cs="Arial"/>
          <w:sz w:val="24"/>
          <w:szCs w:val="24"/>
        </w:rPr>
        <w:t>standards and guidelines for these assessments ha</w:t>
      </w:r>
      <w:r w:rsidR="00B64827">
        <w:rPr>
          <w:rFonts w:ascii="Arial" w:hAnsi="Arial" w:cs="Arial"/>
          <w:sz w:val="24"/>
          <w:szCs w:val="24"/>
        </w:rPr>
        <w:t>ve</w:t>
      </w:r>
      <w:r>
        <w:rPr>
          <w:rFonts w:ascii="Arial" w:hAnsi="Arial" w:cs="Arial"/>
          <w:sz w:val="24"/>
          <w:szCs w:val="24"/>
        </w:rPr>
        <w:t xml:space="preserve"> been </w:t>
      </w:r>
      <w:r w:rsidR="00B64827">
        <w:rPr>
          <w:rFonts w:ascii="Arial" w:hAnsi="Arial" w:cs="Arial"/>
          <w:sz w:val="24"/>
          <w:szCs w:val="24"/>
        </w:rPr>
        <w:t>made</w:t>
      </w:r>
      <w:r>
        <w:rPr>
          <w:rFonts w:ascii="Arial" w:hAnsi="Arial" w:cs="Arial"/>
          <w:sz w:val="24"/>
          <w:szCs w:val="24"/>
        </w:rPr>
        <w:t xml:space="preserve"> in a variety of jurisdictions in </w:t>
      </w:r>
      <w:r w:rsidR="00BD2F8F">
        <w:rPr>
          <w:rFonts w:ascii="Arial" w:hAnsi="Arial" w:cs="Arial"/>
          <w:sz w:val="24"/>
          <w:szCs w:val="24"/>
        </w:rPr>
        <w:t xml:space="preserve">both </w:t>
      </w:r>
      <w:r>
        <w:rPr>
          <w:rFonts w:ascii="Arial" w:hAnsi="Arial" w:cs="Arial"/>
          <w:sz w:val="24"/>
          <w:szCs w:val="24"/>
        </w:rPr>
        <w:t>Canada</w:t>
      </w:r>
      <w:r w:rsidR="00BD2F8F">
        <w:rPr>
          <w:rFonts w:ascii="Arial" w:hAnsi="Arial" w:cs="Arial"/>
          <w:sz w:val="24"/>
          <w:szCs w:val="24"/>
        </w:rPr>
        <w:t xml:space="preserve"> and </w:t>
      </w:r>
      <w:r w:rsidR="00436BDB">
        <w:rPr>
          <w:rFonts w:ascii="Arial" w:hAnsi="Arial" w:cs="Arial"/>
          <w:sz w:val="24"/>
          <w:szCs w:val="24"/>
        </w:rPr>
        <w:t>the United States</w:t>
      </w:r>
      <w:r w:rsidR="003F20D0">
        <w:rPr>
          <w:rFonts w:ascii="Arial" w:hAnsi="Arial" w:cs="Arial"/>
          <w:sz w:val="24"/>
          <w:szCs w:val="24"/>
        </w:rPr>
        <w:t xml:space="preserve"> with varying degrees of success</w:t>
      </w:r>
      <w:r w:rsidR="00436BDB">
        <w:rPr>
          <w:rFonts w:ascii="Arial" w:hAnsi="Arial" w:cs="Arial"/>
          <w:sz w:val="24"/>
          <w:szCs w:val="24"/>
        </w:rPr>
        <w:t>.</w:t>
      </w:r>
      <w:r w:rsidR="003F20D0">
        <w:rPr>
          <w:rFonts w:ascii="Arial" w:hAnsi="Arial" w:cs="Arial"/>
          <w:sz w:val="24"/>
          <w:szCs w:val="24"/>
        </w:rPr>
        <w:t xml:space="preserve">  </w:t>
      </w:r>
      <w:r w:rsidR="00A4663F">
        <w:rPr>
          <w:rFonts w:ascii="Arial" w:hAnsi="Arial" w:cs="Arial"/>
          <w:sz w:val="24"/>
          <w:szCs w:val="24"/>
        </w:rPr>
        <w:t xml:space="preserve">Dr. Paul </w:t>
      </w:r>
      <w:proofErr w:type="spellStart"/>
      <w:r w:rsidR="00A4663F">
        <w:rPr>
          <w:rFonts w:ascii="Arial" w:hAnsi="Arial" w:cs="Arial"/>
          <w:sz w:val="24"/>
          <w:szCs w:val="24"/>
        </w:rPr>
        <w:t>Steinhauer</w:t>
      </w:r>
      <w:proofErr w:type="spellEnd"/>
      <w:r w:rsidR="00EB1143">
        <w:rPr>
          <w:rFonts w:ascii="Arial" w:hAnsi="Arial" w:cs="Arial"/>
          <w:sz w:val="24"/>
          <w:szCs w:val="24"/>
        </w:rPr>
        <w:t xml:space="preserve">, a </w:t>
      </w:r>
      <w:r w:rsidR="00585245">
        <w:rPr>
          <w:rFonts w:ascii="Arial" w:hAnsi="Arial" w:cs="Arial"/>
          <w:sz w:val="24"/>
          <w:szCs w:val="24"/>
        </w:rPr>
        <w:t xml:space="preserve">Canadian </w:t>
      </w:r>
      <w:r w:rsidR="00EB1143">
        <w:rPr>
          <w:rFonts w:ascii="Arial" w:hAnsi="Arial" w:cs="Arial"/>
          <w:sz w:val="24"/>
          <w:szCs w:val="24"/>
        </w:rPr>
        <w:t>child psychiatrist,</w:t>
      </w:r>
      <w:r w:rsidR="00A4663F">
        <w:rPr>
          <w:rFonts w:ascii="Arial" w:hAnsi="Arial" w:cs="Arial"/>
          <w:sz w:val="24"/>
          <w:szCs w:val="24"/>
        </w:rPr>
        <w:t xml:space="preserve"> attempted to develop</w:t>
      </w:r>
      <w:r w:rsidR="00E37AF1">
        <w:rPr>
          <w:rFonts w:ascii="Arial" w:hAnsi="Arial" w:cs="Arial"/>
          <w:sz w:val="24"/>
          <w:szCs w:val="24"/>
        </w:rPr>
        <w:t xml:space="preserve"> a formal standardized approach in the </w:t>
      </w:r>
      <w:r w:rsidR="00AC1A1E">
        <w:rPr>
          <w:rFonts w:ascii="Arial" w:hAnsi="Arial" w:cs="Arial"/>
          <w:sz w:val="24"/>
          <w:szCs w:val="24"/>
        </w:rPr>
        <w:t xml:space="preserve">1980s and 90s </w:t>
      </w:r>
      <w:r w:rsidR="00217DC5">
        <w:rPr>
          <w:rFonts w:ascii="Arial" w:hAnsi="Arial" w:cs="Arial"/>
          <w:sz w:val="24"/>
          <w:szCs w:val="24"/>
        </w:rPr>
        <w:t xml:space="preserve">with </w:t>
      </w:r>
      <w:proofErr w:type="gramStart"/>
      <w:r w:rsidR="00217DC5">
        <w:rPr>
          <w:rFonts w:ascii="Arial" w:hAnsi="Arial" w:cs="Arial"/>
          <w:sz w:val="24"/>
          <w:szCs w:val="24"/>
        </w:rPr>
        <w:t>a number of</w:t>
      </w:r>
      <w:proofErr w:type="gramEnd"/>
      <w:r w:rsidR="00217DC5">
        <w:rPr>
          <w:rFonts w:ascii="Arial" w:hAnsi="Arial" w:cs="Arial"/>
          <w:sz w:val="24"/>
          <w:szCs w:val="24"/>
        </w:rPr>
        <w:t xml:space="preserve"> </w:t>
      </w:r>
      <w:r w:rsidR="00190CD5">
        <w:rPr>
          <w:rFonts w:ascii="Arial" w:hAnsi="Arial" w:cs="Arial"/>
          <w:sz w:val="24"/>
          <w:szCs w:val="24"/>
        </w:rPr>
        <w:t>child protection stakeholders</w:t>
      </w:r>
      <w:r w:rsidR="00EB1143">
        <w:rPr>
          <w:rFonts w:ascii="Arial" w:hAnsi="Arial" w:cs="Arial"/>
          <w:sz w:val="24"/>
          <w:szCs w:val="24"/>
        </w:rPr>
        <w:t>.</w:t>
      </w:r>
      <w:r w:rsidR="00AF2552">
        <w:rPr>
          <w:rStyle w:val="FootnoteReference"/>
          <w:rFonts w:ascii="Arial" w:hAnsi="Arial" w:cs="Arial"/>
          <w:sz w:val="24"/>
          <w:szCs w:val="24"/>
        </w:rPr>
        <w:footnoteReference w:id="21"/>
      </w:r>
      <w:r w:rsidR="00EB1143">
        <w:rPr>
          <w:rFonts w:ascii="Arial" w:hAnsi="Arial" w:cs="Arial"/>
          <w:sz w:val="24"/>
          <w:szCs w:val="24"/>
        </w:rPr>
        <w:t xml:space="preserve">  </w:t>
      </w:r>
      <w:r w:rsidR="00C05877">
        <w:rPr>
          <w:rFonts w:ascii="Arial" w:hAnsi="Arial" w:cs="Arial"/>
          <w:sz w:val="24"/>
          <w:szCs w:val="24"/>
        </w:rPr>
        <w:t>Canadian researchers</w:t>
      </w:r>
      <w:r w:rsidR="006F672A">
        <w:rPr>
          <w:rFonts w:ascii="Arial" w:hAnsi="Arial" w:cs="Arial"/>
          <w:sz w:val="24"/>
          <w:szCs w:val="24"/>
        </w:rPr>
        <w:t xml:space="preserve"> and clinical psych</w:t>
      </w:r>
      <w:r w:rsidR="00150083">
        <w:rPr>
          <w:rFonts w:ascii="Arial" w:hAnsi="Arial" w:cs="Arial"/>
          <w:sz w:val="24"/>
          <w:szCs w:val="24"/>
        </w:rPr>
        <w:t xml:space="preserve">ologists </w:t>
      </w:r>
      <w:proofErr w:type="spellStart"/>
      <w:r w:rsidR="00150083">
        <w:rPr>
          <w:rFonts w:ascii="Arial" w:hAnsi="Arial" w:cs="Arial"/>
          <w:sz w:val="24"/>
          <w:szCs w:val="24"/>
        </w:rPr>
        <w:t>Pezzot</w:t>
      </w:r>
      <w:proofErr w:type="spellEnd"/>
      <w:r w:rsidR="00150083">
        <w:rPr>
          <w:rFonts w:ascii="Arial" w:hAnsi="Arial" w:cs="Arial"/>
          <w:sz w:val="24"/>
          <w:szCs w:val="24"/>
        </w:rPr>
        <w:t xml:space="preserve">-Pearce and Pearce also published </w:t>
      </w:r>
      <w:r w:rsidR="008A0017">
        <w:rPr>
          <w:rFonts w:ascii="Arial" w:hAnsi="Arial" w:cs="Arial"/>
          <w:sz w:val="24"/>
          <w:szCs w:val="24"/>
        </w:rPr>
        <w:t xml:space="preserve">a comprehensive book </w:t>
      </w:r>
      <w:r w:rsidR="001A42CA">
        <w:rPr>
          <w:rFonts w:ascii="Arial" w:hAnsi="Arial" w:cs="Arial"/>
          <w:sz w:val="24"/>
          <w:szCs w:val="24"/>
        </w:rPr>
        <w:t xml:space="preserve">in 2004 which reviews research in the field and makes recommendations for </w:t>
      </w:r>
      <w:r w:rsidR="00A2347D">
        <w:rPr>
          <w:rFonts w:ascii="Arial" w:hAnsi="Arial" w:cs="Arial"/>
          <w:sz w:val="24"/>
          <w:szCs w:val="24"/>
        </w:rPr>
        <w:t xml:space="preserve">best practices for </w:t>
      </w:r>
      <w:r w:rsidR="00F31FF3">
        <w:rPr>
          <w:rFonts w:ascii="Arial" w:hAnsi="Arial" w:cs="Arial"/>
          <w:sz w:val="24"/>
          <w:szCs w:val="24"/>
        </w:rPr>
        <w:t>parenting assessments in the child welfare field.</w:t>
      </w:r>
      <w:r w:rsidR="00F31FF3">
        <w:rPr>
          <w:rStyle w:val="FootnoteReference"/>
          <w:rFonts w:ascii="Arial" w:hAnsi="Arial" w:cs="Arial"/>
          <w:sz w:val="24"/>
          <w:szCs w:val="24"/>
        </w:rPr>
        <w:footnoteReference w:id="22"/>
      </w:r>
    </w:p>
    <w:p w14:paraId="34E81C88" w14:textId="77777777" w:rsidR="008E35AE" w:rsidRDefault="00BA5D68" w:rsidP="00F710F6">
      <w:pPr>
        <w:rPr>
          <w:rFonts w:ascii="Arial" w:hAnsi="Arial" w:cs="Arial"/>
          <w:sz w:val="24"/>
          <w:szCs w:val="24"/>
        </w:rPr>
      </w:pPr>
      <w:r>
        <w:rPr>
          <w:rFonts w:ascii="Arial" w:hAnsi="Arial" w:cs="Arial"/>
          <w:sz w:val="24"/>
          <w:szCs w:val="24"/>
        </w:rPr>
        <w:t>More recently</w:t>
      </w:r>
      <w:r w:rsidR="00C17D34">
        <w:rPr>
          <w:rFonts w:ascii="Arial" w:hAnsi="Arial" w:cs="Arial"/>
          <w:sz w:val="24"/>
          <w:szCs w:val="24"/>
        </w:rPr>
        <w:t xml:space="preserve"> in 2011,</w:t>
      </w:r>
      <w:r>
        <w:rPr>
          <w:rFonts w:ascii="Arial" w:hAnsi="Arial" w:cs="Arial"/>
          <w:sz w:val="24"/>
          <w:szCs w:val="24"/>
        </w:rPr>
        <w:t xml:space="preserve"> </w:t>
      </w:r>
      <w:r w:rsidR="004B76A1">
        <w:rPr>
          <w:rFonts w:ascii="Arial" w:hAnsi="Arial" w:cs="Arial"/>
          <w:sz w:val="24"/>
          <w:szCs w:val="24"/>
        </w:rPr>
        <w:t xml:space="preserve">rigorous </w:t>
      </w:r>
      <w:r w:rsidR="00960AB8">
        <w:rPr>
          <w:rFonts w:ascii="Arial" w:hAnsi="Arial" w:cs="Arial"/>
          <w:sz w:val="24"/>
          <w:szCs w:val="24"/>
        </w:rPr>
        <w:t xml:space="preserve">and detailed forensic recommendations for best practices </w:t>
      </w:r>
      <w:r w:rsidR="00FA0F2A">
        <w:rPr>
          <w:rFonts w:ascii="Arial" w:hAnsi="Arial" w:cs="Arial"/>
          <w:sz w:val="24"/>
          <w:szCs w:val="24"/>
        </w:rPr>
        <w:t xml:space="preserve">in parenting capacity assessments </w:t>
      </w:r>
      <w:r w:rsidR="00DA365B">
        <w:rPr>
          <w:rFonts w:ascii="Arial" w:hAnsi="Arial" w:cs="Arial"/>
          <w:sz w:val="24"/>
          <w:szCs w:val="24"/>
        </w:rPr>
        <w:t xml:space="preserve">conducted by psychologists </w:t>
      </w:r>
      <w:r w:rsidR="00FA0F2A">
        <w:rPr>
          <w:rFonts w:ascii="Arial" w:hAnsi="Arial" w:cs="Arial"/>
          <w:sz w:val="24"/>
          <w:szCs w:val="24"/>
        </w:rPr>
        <w:t>were developed i</w:t>
      </w:r>
      <w:r w:rsidR="00EF006B">
        <w:rPr>
          <w:rFonts w:ascii="Arial" w:hAnsi="Arial" w:cs="Arial"/>
          <w:sz w:val="24"/>
          <w:szCs w:val="24"/>
        </w:rPr>
        <w:t xml:space="preserve">n the </w:t>
      </w:r>
      <w:r w:rsidR="00887057">
        <w:rPr>
          <w:rFonts w:ascii="Arial" w:hAnsi="Arial" w:cs="Arial"/>
          <w:sz w:val="24"/>
          <w:szCs w:val="24"/>
        </w:rPr>
        <w:t xml:space="preserve">United States </w:t>
      </w:r>
      <w:r w:rsidR="00D02096">
        <w:rPr>
          <w:rFonts w:ascii="Arial" w:hAnsi="Arial" w:cs="Arial"/>
          <w:sz w:val="24"/>
          <w:szCs w:val="24"/>
        </w:rPr>
        <w:t>by Karen Budd</w:t>
      </w:r>
      <w:r w:rsidR="00BA71AE">
        <w:rPr>
          <w:rFonts w:ascii="Arial" w:hAnsi="Arial" w:cs="Arial"/>
          <w:sz w:val="24"/>
          <w:szCs w:val="24"/>
        </w:rPr>
        <w:t xml:space="preserve">, Mary </w:t>
      </w:r>
      <w:proofErr w:type="gramStart"/>
      <w:r w:rsidR="00BA71AE">
        <w:rPr>
          <w:rFonts w:ascii="Arial" w:hAnsi="Arial" w:cs="Arial"/>
          <w:sz w:val="24"/>
          <w:szCs w:val="24"/>
        </w:rPr>
        <w:t>Connell</w:t>
      </w:r>
      <w:proofErr w:type="gramEnd"/>
      <w:r w:rsidR="00BA71AE">
        <w:rPr>
          <w:rFonts w:ascii="Arial" w:hAnsi="Arial" w:cs="Arial"/>
          <w:sz w:val="24"/>
          <w:szCs w:val="24"/>
        </w:rPr>
        <w:t xml:space="preserve"> and Jennifer R. Clark</w:t>
      </w:r>
      <w:r w:rsidR="00AC272A">
        <w:rPr>
          <w:rFonts w:ascii="Arial" w:hAnsi="Arial" w:cs="Arial"/>
          <w:sz w:val="24"/>
          <w:szCs w:val="24"/>
        </w:rPr>
        <w:t>.</w:t>
      </w:r>
      <w:r w:rsidR="00BB63BD">
        <w:rPr>
          <w:rStyle w:val="FootnoteReference"/>
          <w:rFonts w:ascii="Arial" w:hAnsi="Arial" w:cs="Arial"/>
          <w:sz w:val="24"/>
          <w:szCs w:val="24"/>
        </w:rPr>
        <w:footnoteReference w:id="23"/>
      </w:r>
      <w:r w:rsidR="00AC272A">
        <w:rPr>
          <w:rFonts w:ascii="Arial" w:hAnsi="Arial" w:cs="Arial"/>
          <w:sz w:val="24"/>
          <w:szCs w:val="24"/>
        </w:rPr>
        <w:t xml:space="preserve">  </w:t>
      </w:r>
      <w:r w:rsidR="00A32DE8">
        <w:rPr>
          <w:rFonts w:ascii="Arial" w:hAnsi="Arial" w:cs="Arial"/>
          <w:sz w:val="24"/>
          <w:szCs w:val="24"/>
        </w:rPr>
        <w:t xml:space="preserve">Dr. </w:t>
      </w:r>
      <w:r w:rsidR="00826DB9">
        <w:rPr>
          <w:rFonts w:ascii="Arial" w:hAnsi="Arial" w:cs="Arial"/>
          <w:sz w:val="24"/>
          <w:szCs w:val="24"/>
        </w:rPr>
        <w:t xml:space="preserve">Karen Budd is a clinical psychologist </w:t>
      </w:r>
      <w:r w:rsidR="002B469C">
        <w:rPr>
          <w:rFonts w:ascii="Arial" w:hAnsi="Arial" w:cs="Arial"/>
          <w:sz w:val="24"/>
          <w:szCs w:val="24"/>
        </w:rPr>
        <w:t xml:space="preserve">and academic </w:t>
      </w:r>
      <w:r w:rsidR="00463D10">
        <w:rPr>
          <w:rFonts w:ascii="Arial" w:hAnsi="Arial" w:cs="Arial"/>
          <w:sz w:val="24"/>
          <w:szCs w:val="24"/>
        </w:rPr>
        <w:t>based in</w:t>
      </w:r>
      <w:r w:rsidR="00BF3903">
        <w:rPr>
          <w:rFonts w:ascii="Arial" w:hAnsi="Arial" w:cs="Arial"/>
          <w:sz w:val="24"/>
          <w:szCs w:val="24"/>
        </w:rPr>
        <w:t xml:space="preserve"> </w:t>
      </w:r>
      <w:r w:rsidR="00AF5206">
        <w:rPr>
          <w:rFonts w:ascii="Arial" w:hAnsi="Arial" w:cs="Arial"/>
          <w:sz w:val="24"/>
          <w:szCs w:val="24"/>
        </w:rPr>
        <w:t xml:space="preserve">Chicago, Illinois </w:t>
      </w:r>
      <w:r w:rsidR="002B469C">
        <w:rPr>
          <w:rFonts w:ascii="Arial" w:hAnsi="Arial" w:cs="Arial"/>
          <w:sz w:val="24"/>
          <w:szCs w:val="24"/>
        </w:rPr>
        <w:t xml:space="preserve">who </w:t>
      </w:r>
      <w:r w:rsidR="002B469C">
        <w:rPr>
          <w:rFonts w:ascii="Arial" w:hAnsi="Arial" w:cs="Arial"/>
          <w:sz w:val="24"/>
          <w:szCs w:val="24"/>
        </w:rPr>
        <w:lastRenderedPageBreak/>
        <w:t xml:space="preserve">has </w:t>
      </w:r>
      <w:r w:rsidR="002E10E6">
        <w:rPr>
          <w:rFonts w:ascii="Arial" w:hAnsi="Arial" w:cs="Arial"/>
          <w:sz w:val="24"/>
          <w:szCs w:val="24"/>
        </w:rPr>
        <w:t>conducted extensive research</w:t>
      </w:r>
      <w:r w:rsidR="00FA6B56">
        <w:rPr>
          <w:rFonts w:ascii="Arial" w:hAnsi="Arial" w:cs="Arial"/>
          <w:sz w:val="24"/>
          <w:szCs w:val="24"/>
        </w:rPr>
        <w:t xml:space="preserve"> on </w:t>
      </w:r>
      <w:r w:rsidR="006033FD">
        <w:rPr>
          <w:rFonts w:ascii="Arial" w:hAnsi="Arial" w:cs="Arial"/>
          <w:sz w:val="24"/>
          <w:szCs w:val="24"/>
        </w:rPr>
        <w:t>P</w:t>
      </w:r>
      <w:r w:rsidR="00FA6B56">
        <w:rPr>
          <w:rFonts w:ascii="Arial" w:hAnsi="Arial" w:cs="Arial"/>
          <w:sz w:val="24"/>
          <w:szCs w:val="24"/>
        </w:rPr>
        <w:t xml:space="preserve">arenting </w:t>
      </w:r>
      <w:r w:rsidR="006033FD">
        <w:rPr>
          <w:rFonts w:ascii="Arial" w:hAnsi="Arial" w:cs="Arial"/>
          <w:sz w:val="24"/>
          <w:szCs w:val="24"/>
        </w:rPr>
        <w:t>C</w:t>
      </w:r>
      <w:r w:rsidR="00FA6B56">
        <w:rPr>
          <w:rFonts w:ascii="Arial" w:hAnsi="Arial" w:cs="Arial"/>
          <w:sz w:val="24"/>
          <w:szCs w:val="24"/>
        </w:rPr>
        <w:t xml:space="preserve">apacity </w:t>
      </w:r>
      <w:r w:rsidR="006033FD">
        <w:rPr>
          <w:rFonts w:ascii="Arial" w:hAnsi="Arial" w:cs="Arial"/>
          <w:sz w:val="24"/>
          <w:szCs w:val="24"/>
        </w:rPr>
        <w:t>A</w:t>
      </w:r>
      <w:r w:rsidR="00FA6B56">
        <w:rPr>
          <w:rFonts w:ascii="Arial" w:hAnsi="Arial" w:cs="Arial"/>
          <w:sz w:val="24"/>
          <w:szCs w:val="24"/>
        </w:rPr>
        <w:t>ssessments</w:t>
      </w:r>
      <w:r w:rsidR="008E4E5D">
        <w:rPr>
          <w:rFonts w:ascii="Arial" w:hAnsi="Arial" w:cs="Arial"/>
          <w:sz w:val="24"/>
          <w:szCs w:val="24"/>
        </w:rPr>
        <w:t>, including within a family court clinic</w:t>
      </w:r>
      <w:r w:rsidR="006033FD">
        <w:rPr>
          <w:rFonts w:ascii="Arial" w:hAnsi="Arial" w:cs="Arial"/>
          <w:sz w:val="24"/>
          <w:szCs w:val="24"/>
        </w:rPr>
        <w:t xml:space="preserve">. </w:t>
      </w:r>
      <w:r w:rsidR="008376D3">
        <w:rPr>
          <w:rFonts w:ascii="Arial" w:hAnsi="Arial" w:cs="Arial"/>
          <w:sz w:val="24"/>
          <w:szCs w:val="24"/>
        </w:rPr>
        <w:t xml:space="preserve"> </w:t>
      </w:r>
      <w:r w:rsidR="009A19C8">
        <w:rPr>
          <w:rFonts w:ascii="Arial" w:hAnsi="Arial" w:cs="Arial"/>
          <w:sz w:val="24"/>
          <w:szCs w:val="24"/>
        </w:rPr>
        <w:t xml:space="preserve">The authors wrote </w:t>
      </w:r>
      <w:r w:rsidR="00887057">
        <w:rPr>
          <w:rFonts w:ascii="Arial" w:hAnsi="Arial" w:cs="Arial"/>
          <w:sz w:val="24"/>
          <w:szCs w:val="24"/>
        </w:rPr>
        <w:t>a</w:t>
      </w:r>
      <w:r w:rsidR="004F195A">
        <w:rPr>
          <w:rFonts w:ascii="Arial" w:hAnsi="Arial" w:cs="Arial"/>
          <w:sz w:val="24"/>
          <w:szCs w:val="24"/>
        </w:rPr>
        <w:t xml:space="preserve"> con</w:t>
      </w:r>
      <w:r w:rsidR="00763A5D">
        <w:rPr>
          <w:rFonts w:ascii="Arial" w:hAnsi="Arial" w:cs="Arial"/>
          <w:sz w:val="24"/>
          <w:szCs w:val="24"/>
        </w:rPr>
        <w:t>cise</w:t>
      </w:r>
    </w:p>
    <w:p w14:paraId="158A96E3" w14:textId="11A653C3" w:rsidR="00C10D14" w:rsidRDefault="00887057" w:rsidP="00F710F6">
      <w:pPr>
        <w:rPr>
          <w:rFonts w:ascii="Arial" w:hAnsi="Arial" w:cs="Arial"/>
          <w:sz w:val="24"/>
          <w:szCs w:val="24"/>
        </w:rPr>
      </w:pPr>
      <w:r>
        <w:rPr>
          <w:rFonts w:ascii="Arial" w:hAnsi="Arial" w:cs="Arial"/>
          <w:sz w:val="24"/>
          <w:szCs w:val="24"/>
        </w:rPr>
        <w:t xml:space="preserve"> book outlining </w:t>
      </w:r>
      <w:r w:rsidR="00A16B71">
        <w:rPr>
          <w:rFonts w:ascii="Arial" w:hAnsi="Arial" w:cs="Arial"/>
          <w:sz w:val="24"/>
          <w:szCs w:val="24"/>
        </w:rPr>
        <w:t>best practice recommendations</w:t>
      </w:r>
      <w:r w:rsidR="00885464">
        <w:rPr>
          <w:rFonts w:ascii="Arial" w:hAnsi="Arial" w:cs="Arial"/>
          <w:sz w:val="24"/>
          <w:szCs w:val="24"/>
        </w:rPr>
        <w:t xml:space="preserve"> for forensic </w:t>
      </w:r>
      <w:r w:rsidR="003646E0">
        <w:rPr>
          <w:rFonts w:ascii="Arial" w:hAnsi="Arial" w:cs="Arial"/>
          <w:sz w:val="24"/>
          <w:szCs w:val="24"/>
        </w:rPr>
        <w:t xml:space="preserve">parenting </w:t>
      </w:r>
      <w:r w:rsidR="00763A5D">
        <w:rPr>
          <w:rFonts w:ascii="Arial" w:hAnsi="Arial" w:cs="Arial"/>
          <w:sz w:val="24"/>
          <w:szCs w:val="24"/>
        </w:rPr>
        <w:t xml:space="preserve">capacity </w:t>
      </w:r>
      <w:r w:rsidR="00885464">
        <w:rPr>
          <w:rFonts w:ascii="Arial" w:hAnsi="Arial" w:cs="Arial"/>
          <w:sz w:val="24"/>
          <w:szCs w:val="24"/>
        </w:rPr>
        <w:t>evaluations</w:t>
      </w:r>
      <w:r w:rsidR="00377773">
        <w:rPr>
          <w:rFonts w:ascii="Arial" w:hAnsi="Arial" w:cs="Arial"/>
          <w:sz w:val="24"/>
          <w:szCs w:val="24"/>
        </w:rPr>
        <w:t>,</w:t>
      </w:r>
      <w:r w:rsidR="00964A0A">
        <w:rPr>
          <w:rFonts w:ascii="Arial" w:hAnsi="Arial" w:cs="Arial"/>
          <w:sz w:val="24"/>
          <w:szCs w:val="24"/>
        </w:rPr>
        <w:t xml:space="preserve"> having regard to</w:t>
      </w:r>
      <w:r w:rsidR="00377773">
        <w:rPr>
          <w:rFonts w:ascii="Arial" w:hAnsi="Arial" w:cs="Arial"/>
          <w:sz w:val="24"/>
          <w:szCs w:val="24"/>
        </w:rPr>
        <w:t xml:space="preserve"> the </w:t>
      </w:r>
      <w:r w:rsidR="007B75DF">
        <w:rPr>
          <w:rFonts w:ascii="Arial" w:hAnsi="Arial" w:cs="Arial"/>
          <w:sz w:val="24"/>
          <w:szCs w:val="24"/>
        </w:rPr>
        <w:t xml:space="preserve">available </w:t>
      </w:r>
      <w:r w:rsidR="00D01C5B">
        <w:rPr>
          <w:rFonts w:ascii="Arial" w:hAnsi="Arial" w:cs="Arial"/>
          <w:sz w:val="24"/>
          <w:szCs w:val="24"/>
        </w:rPr>
        <w:t xml:space="preserve">research in the field and the </w:t>
      </w:r>
      <w:r w:rsidR="00377773">
        <w:rPr>
          <w:rFonts w:ascii="Arial" w:hAnsi="Arial" w:cs="Arial"/>
          <w:sz w:val="24"/>
          <w:szCs w:val="24"/>
        </w:rPr>
        <w:t>law related to</w:t>
      </w:r>
      <w:r w:rsidR="009440E9">
        <w:rPr>
          <w:rFonts w:ascii="Arial" w:hAnsi="Arial" w:cs="Arial"/>
          <w:sz w:val="24"/>
          <w:szCs w:val="24"/>
        </w:rPr>
        <w:t xml:space="preserve"> the admission of</w:t>
      </w:r>
      <w:r w:rsidR="00377773">
        <w:rPr>
          <w:rFonts w:ascii="Arial" w:hAnsi="Arial" w:cs="Arial"/>
          <w:sz w:val="24"/>
          <w:szCs w:val="24"/>
        </w:rPr>
        <w:t xml:space="preserve"> expert opinion evidence in the United States</w:t>
      </w:r>
      <w:r w:rsidR="00804D10">
        <w:rPr>
          <w:rStyle w:val="FootnoteReference"/>
          <w:rFonts w:ascii="Arial" w:hAnsi="Arial" w:cs="Arial"/>
          <w:sz w:val="24"/>
          <w:szCs w:val="24"/>
        </w:rPr>
        <w:footnoteReference w:id="24"/>
      </w:r>
      <w:r w:rsidR="00885464">
        <w:rPr>
          <w:rFonts w:ascii="Arial" w:hAnsi="Arial" w:cs="Arial"/>
          <w:sz w:val="24"/>
          <w:szCs w:val="24"/>
        </w:rPr>
        <w:t>.</w:t>
      </w:r>
      <w:r w:rsidR="008C067C">
        <w:rPr>
          <w:rFonts w:ascii="Arial" w:hAnsi="Arial" w:cs="Arial"/>
          <w:sz w:val="24"/>
          <w:szCs w:val="24"/>
        </w:rPr>
        <w:t xml:space="preserve">  </w:t>
      </w:r>
    </w:p>
    <w:p w14:paraId="3EE00259" w14:textId="70A6BE90" w:rsidR="002F4D8E" w:rsidRDefault="002D2685" w:rsidP="00F710F6">
      <w:pPr>
        <w:rPr>
          <w:rFonts w:ascii="Arial" w:hAnsi="Arial" w:cs="Arial"/>
          <w:sz w:val="24"/>
          <w:szCs w:val="24"/>
        </w:rPr>
      </w:pPr>
      <w:r>
        <w:rPr>
          <w:rFonts w:ascii="Arial" w:hAnsi="Arial" w:cs="Arial"/>
          <w:sz w:val="24"/>
          <w:szCs w:val="24"/>
        </w:rPr>
        <w:t>The</w:t>
      </w:r>
      <w:r w:rsidR="009F7B68">
        <w:rPr>
          <w:rFonts w:ascii="Arial" w:hAnsi="Arial" w:cs="Arial"/>
          <w:sz w:val="24"/>
          <w:szCs w:val="24"/>
        </w:rPr>
        <w:t>se</w:t>
      </w:r>
      <w:r>
        <w:rPr>
          <w:rFonts w:ascii="Arial" w:hAnsi="Arial" w:cs="Arial"/>
          <w:sz w:val="24"/>
          <w:szCs w:val="24"/>
        </w:rPr>
        <w:t xml:space="preserve"> authors suggest </w:t>
      </w:r>
      <w:r w:rsidR="00931BFA">
        <w:rPr>
          <w:rFonts w:ascii="Arial" w:hAnsi="Arial" w:cs="Arial"/>
          <w:sz w:val="24"/>
          <w:szCs w:val="24"/>
        </w:rPr>
        <w:t xml:space="preserve">a general </w:t>
      </w:r>
      <w:r w:rsidR="00FF6579">
        <w:rPr>
          <w:rFonts w:ascii="Arial" w:hAnsi="Arial" w:cs="Arial"/>
          <w:sz w:val="24"/>
          <w:szCs w:val="24"/>
        </w:rPr>
        <w:t>best practice</w:t>
      </w:r>
      <w:r w:rsidR="006D1B56">
        <w:rPr>
          <w:rFonts w:ascii="Arial" w:hAnsi="Arial" w:cs="Arial"/>
          <w:sz w:val="24"/>
          <w:szCs w:val="24"/>
        </w:rPr>
        <w:t xml:space="preserve"> </w:t>
      </w:r>
      <w:r w:rsidR="00931BFA">
        <w:rPr>
          <w:rFonts w:ascii="Arial" w:hAnsi="Arial" w:cs="Arial"/>
          <w:sz w:val="24"/>
          <w:szCs w:val="24"/>
        </w:rPr>
        <w:t xml:space="preserve">methodological approach </w:t>
      </w:r>
      <w:r w:rsidR="00CB5F61">
        <w:rPr>
          <w:rFonts w:ascii="Arial" w:hAnsi="Arial" w:cs="Arial"/>
          <w:sz w:val="24"/>
          <w:szCs w:val="24"/>
        </w:rPr>
        <w:t>for fo</w:t>
      </w:r>
      <w:r w:rsidR="00931BFA">
        <w:rPr>
          <w:rFonts w:ascii="Arial" w:hAnsi="Arial" w:cs="Arial"/>
          <w:sz w:val="24"/>
          <w:szCs w:val="24"/>
        </w:rPr>
        <w:t>rensic assessment</w:t>
      </w:r>
      <w:r w:rsidR="00CB5F61">
        <w:rPr>
          <w:rFonts w:ascii="Arial" w:hAnsi="Arial" w:cs="Arial"/>
          <w:sz w:val="24"/>
          <w:szCs w:val="24"/>
        </w:rPr>
        <w:t>s</w:t>
      </w:r>
      <w:r w:rsidR="00931BFA">
        <w:rPr>
          <w:rFonts w:ascii="Arial" w:hAnsi="Arial" w:cs="Arial"/>
          <w:sz w:val="24"/>
          <w:szCs w:val="24"/>
        </w:rPr>
        <w:t xml:space="preserve"> of this type. </w:t>
      </w:r>
      <w:r w:rsidR="00FC0F00">
        <w:rPr>
          <w:rFonts w:ascii="Arial" w:hAnsi="Arial" w:cs="Arial"/>
          <w:sz w:val="24"/>
          <w:szCs w:val="24"/>
        </w:rPr>
        <w:t xml:space="preserve"> </w:t>
      </w:r>
      <w:r w:rsidR="00110D78">
        <w:rPr>
          <w:rFonts w:ascii="Arial" w:hAnsi="Arial" w:cs="Arial"/>
          <w:sz w:val="24"/>
          <w:szCs w:val="24"/>
        </w:rPr>
        <w:t xml:space="preserve">I have reproduced a summary of their recommended methodological approach </w:t>
      </w:r>
      <w:r w:rsidR="00A15FC8">
        <w:rPr>
          <w:rFonts w:ascii="Arial" w:hAnsi="Arial" w:cs="Arial"/>
          <w:sz w:val="24"/>
          <w:szCs w:val="24"/>
        </w:rPr>
        <w:t xml:space="preserve">below </w:t>
      </w:r>
      <w:r w:rsidR="00110D78">
        <w:rPr>
          <w:rFonts w:ascii="Arial" w:hAnsi="Arial" w:cs="Arial"/>
          <w:sz w:val="24"/>
          <w:szCs w:val="24"/>
        </w:rPr>
        <w:t>because</w:t>
      </w:r>
      <w:r w:rsidR="00EE097A">
        <w:rPr>
          <w:rFonts w:ascii="Arial" w:hAnsi="Arial" w:cs="Arial"/>
          <w:sz w:val="24"/>
          <w:szCs w:val="24"/>
        </w:rPr>
        <w:t xml:space="preserve"> </w:t>
      </w:r>
      <w:r w:rsidR="008B1035">
        <w:rPr>
          <w:rFonts w:ascii="Arial" w:hAnsi="Arial" w:cs="Arial"/>
          <w:sz w:val="24"/>
          <w:szCs w:val="24"/>
        </w:rPr>
        <w:t>their guidelines are very well grounded in the best available empirical research on these types of assessments</w:t>
      </w:r>
      <w:r w:rsidR="00E85DED">
        <w:rPr>
          <w:rFonts w:ascii="Arial" w:hAnsi="Arial" w:cs="Arial"/>
          <w:sz w:val="24"/>
          <w:szCs w:val="24"/>
        </w:rPr>
        <w:t xml:space="preserve"> having regard to the </w:t>
      </w:r>
      <w:r w:rsidR="00FB1912">
        <w:rPr>
          <w:rFonts w:ascii="Arial" w:hAnsi="Arial" w:cs="Arial"/>
          <w:sz w:val="24"/>
          <w:szCs w:val="24"/>
        </w:rPr>
        <w:t>law related to the admission of expert opinion evidence in the United States</w:t>
      </w:r>
      <w:r w:rsidR="009F7B68">
        <w:rPr>
          <w:rFonts w:ascii="Arial" w:hAnsi="Arial" w:cs="Arial"/>
          <w:sz w:val="24"/>
          <w:szCs w:val="24"/>
        </w:rPr>
        <w:t xml:space="preserve"> which </w:t>
      </w:r>
      <w:r w:rsidR="00276B0D">
        <w:rPr>
          <w:rFonts w:ascii="Arial" w:hAnsi="Arial" w:cs="Arial"/>
          <w:sz w:val="24"/>
          <w:szCs w:val="24"/>
        </w:rPr>
        <w:t xml:space="preserve">shares similarities with the law </w:t>
      </w:r>
      <w:r w:rsidR="002E01B2">
        <w:rPr>
          <w:rFonts w:ascii="Arial" w:hAnsi="Arial" w:cs="Arial"/>
          <w:sz w:val="24"/>
          <w:szCs w:val="24"/>
        </w:rPr>
        <w:t>in C</w:t>
      </w:r>
      <w:r w:rsidR="006E2A9E">
        <w:rPr>
          <w:rFonts w:ascii="Arial" w:hAnsi="Arial" w:cs="Arial"/>
          <w:sz w:val="24"/>
          <w:szCs w:val="24"/>
        </w:rPr>
        <w:t>anada</w:t>
      </w:r>
      <w:r w:rsidR="00FB1912">
        <w:rPr>
          <w:rFonts w:ascii="Arial" w:hAnsi="Arial" w:cs="Arial"/>
          <w:sz w:val="24"/>
          <w:szCs w:val="24"/>
        </w:rPr>
        <w:t xml:space="preserve">.  </w:t>
      </w:r>
    </w:p>
    <w:p w14:paraId="66615D2D" w14:textId="4097E6A6" w:rsidR="005658AC" w:rsidRDefault="00FC0F00" w:rsidP="00F710F6">
      <w:pPr>
        <w:rPr>
          <w:rFonts w:ascii="Arial" w:hAnsi="Arial" w:cs="Arial"/>
          <w:sz w:val="24"/>
          <w:szCs w:val="24"/>
        </w:rPr>
      </w:pPr>
      <w:r>
        <w:rPr>
          <w:rFonts w:ascii="Arial" w:hAnsi="Arial" w:cs="Arial"/>
          <w:sz w:val="24"/>
          <w:szCs w:val="24"/>
        </w:rPr>
        <w:t>Th</w:t>
      </w:r>
      <w:r w:rsidR="004D6347">
        <w:rPr>
          <w:rFonts w:ascii="Arial" w:hAnsi="Arial" w:cs="Arial"/>
          <w:sz w:val="24"/>
          <w:szCs w:val="24"/>
        </w:rPr>
        <w:t>e recommended</w:t>
      </w:r>
      <w:r w:rsidR="0036525A">
        <w:rPr>
          <w:rFonts w:ascii="Arial" w:hAnsi="Arial" w:cs="Arial"/>
          <w:sz w:val="24"/>
          <w:szCs w:val="24"/>
        </w:rPr>
        <w:t xml:space="preserve"> approach </w:t>
      </w:r>
      <w:r w:rsidR="002E01B2">
        <w:rPr>
          <w:rFonts w:ascii="Arial" w:hAnsi="Arial" w:cs="Arial"/>
          <w:sz w:val="24"/>
          <w:szCs w:val="24"/>
        </w:rPr>
        <w:t xml:space="preserve">by Budd et al. </w:t>
      </w:r>
      <w:r w:rsidR="0051065A">
        <w:rPr>
          <w:rFonts w:ascii="Arial" w:hAnsi="Arial" w:cs="Arial"/>
          <w:sz w:val="24"/>
          <w:szCs w:val="24"/>
        </w:rPr>
        <w:t xml:space="preserve">to a forensic parenting capacity evaluation </w:t>
      </w:r>
      <w:r w:rsidR="0036525A">
        <w:rPr>
          <w:rFonts w:ascii="Arial" w:hAnsi="Arial" w:cs="Arial"/>
          <w:sz w:val="24"/>
          <w:szCs w:val="24"/>
        </w:rPr>
        <w:t xml:space="preserve">includes the following </w:t>
      </w:r>
      <w:r w:rsidR="009445EE">
        <w:rPr>
          <w:rFonts w:ascii="Arial" w:hAnsi="Arial" w:cs="Arial"/>
          <w:sz w:val="24"/>
          <w:szCs w:val="24"/>
        </w:rPr>
        <w:t>steps</w:t>
      </w:r>
      <w:r w:rsidR="00A00BA6">
        <w:rPr>
          <w:rFonts w:ascii="Arial" w:hAnsi="Arial" w:cs="Arial"/>
          <w:sz w:val="24"/>
          <w:szCs w:val="24"/>
        </w:rPr>
        <w:t>:</w:t>
      </w:r>
    </w:p>
    <w:p w14:paraId="10FD7B6C" w14:textId="4AAF33B8" w:rsidR="008C6DD8" w:rsidRDefault="00855D18" w:rsidP="00A56A28">
      <w:pPr>
        <w:pStyle w:val="ListParagraph"/>
        <w:numPr>
          <w:ilvl w:val="0"/>
          <w:numId w:val="9"/>
        </w:numPr>
        <w:ind w:left="360"/>
        <w:rPr>
          <w:rFonts w:ascii="Arial" w:hAnsi="Arial" w:cs="Arial"/>
          <w:sz w:val="24"/>
          <w:szCs w:val="24"/>
        </w:rPr>
      </w:pPr>
      <w:r w:rsidRPr="00F6715D">
        <w:rPr>
          <w:rFonts w:ascii="Arial" w:hAnsi="Arial" w:cs="Arial"/>
          <w:sz w:val="24"/>
          <w:szCs w:val="24"/>
          <w:u w:val="single"/>
        </w:rPr>
        <w:t>Obtaining records</w:t>
      </w:r>
      <w:r w:rsidR="00A43120">
        <w:rPr>
          <w:rFonts w:ascii="Arial" w:hAnsi="Arial" w:cs="Arial"/>
          <w:sz w:val="24"/>
          <w:szCs w:val="24"/>
        </w:rPr>
        <w:t xml:space="preserve">: </w:t>
      </w:r>
    </w:p>
    <w:p w14:paraId="7E20A39F" w14:textId="77777777" w:rsidR="008C6DD8" w:rsidRDefault="008C6DD8" w:rsidP="00A56A28">
      <w:pPr>
        <w:pStyle w:val="ListParagraph"/>
        <w:ind w:left="360"/>
        <w:rPr>
          <w:rFonts w:ascii="Arial" w:hAnsi="Arial" w:cs="Arial"/>
          <w:sz w:val="24"/>
          <w:szCs w:val="24"/>
        </w:rPr>
      </w:pPr>
    </w:p>
    <w:p w14:paraId="45652DFF" w14:textId="218996A2" w:rsidR="00A00BA6" w:rsidRDefault="009445EE" w:rsidP="00A56A28">
      <w:pPr>
        <w:pStyle w:val="ListParagraph"/>
        <w:ind w:left="360"/>
        <w:rPr>
          <w:rFonts w:ascii="Arial" w:hAnsi="Arial" w:cs="Arial"/>
          <w:sz w:val="24"/>
          <w:szCs w:val="24"/>
        </w:rPr>
      </w:pPr>
      <w:r>
        <w:rPr>
          <w:rFonts w:ascii="Arial" w:hAnsi="Arial" w:cs="Arial"/>
          <w:sz w:val="24"/>
          <w:szCs w:val="24"/>
        </w:rPr>
        <w:t xml:space="preserve">The records gathered by the clinician should include </w:t>
      </w:r>
      <w:r w:rsidR="00A43120">
        <w:rPr>
          <w:rFonts w:ascii="Arial" w:hAnsi="Arial" w:cs="Arial"/>
          <w:sz w:val="24"/>
          <w:szCs w:val="24"/>
        </w:rPr>
        <w:t xml:space="preserve">child protection </w:t>
      </w:r>
      <w:r w:rsidR="00855D18">
        <w:rPr>
          <w:rFonts w:ascii="Arial" w:hAnsi="Arial" w:cs="Arial"/>
          <w:sz w:val="24"/>
          <w:szCs w:val="24"/>
        </w:rPr>
        <w:t xml:space="preserve">court </w:t>
      </w:r>
      <w:r w:rsidR="00861AD8">
        <w:rPr>
          <w:rFonts w:ascii="Arial" w:hAnsi="Arial" w:cs="Arial"/>
          <w:sz w:val="24"/>
          <w:szCs w:val="24"/>
        </w:rPr>
        <w:t>documents</w:t>
      </w:r>
      <w:r w:rsidR="00A43120">
        <w:rPr>
          <w:rFonts w:ascii="Arial" w:hAnsi="Arial" w:cs="Arial"/>
          <w:sz w:val="24"/>
          <w:szCs w:val="24"/>
        </w:rPr>
        <w:t>;</w:t>
      </w:r>
      <w:r w:rsidR="00861AD8">
        <w:rPr>
          <w:rFonts w:ascii="Arial" w:hAnsi="Arial" w:cs="Arial"/>
          <w:sz w:val="24"/>
          <w:szCs w:val="24"/>
        </w:rPr>
        <w:t xml:space="preserve"> past assessments of parents and children</w:t>
      </w:r>
      <w:r w:rsidR="00A43120">
        <w:rPr>
          <w:rFonts w:ascii="Arial" w:hAnsi="Arial" w:cs="Arial"/>
          <w:sz w:val="24"/>
          <w:szCs w:val="24"/>
        </w:rPr>
        <w:t>;</w:t>
      </w:r>
      <w:r w:rsidR="00861AD8">
        <w:rPr>
          <w:rFonts w:ascii="Arial" w:hAnsi="Arial" w:cs="Arial"/>
          <w:sz w:val="24"/>
          <w:szCs w:val="24"/>
        </w:rPr>
        <w:t xml:space="preserve"> </w:t>
      </w:r>
      <w:r w:rsidR="00F82BE6">
        <w:rPr>
          <w:rFonts w:ascii="Arial" w:hAnsi="Arial" w:cs="Arial"/>
          <w:sz w:val="24"/>
          <w:szCs w:val="24"/>
        </w:rPr>
        <w:t xml:space="preserve">occurrence reports </w:t>
      </w:r>
      <w:r w:rsidR="00BA6047">
        <w:rPr>
          <w:rFonts w:ascii="Arial" w:hAnsi="Arial" w:cs="Arial"/>
          <w:sz w:val="24"/>
          <w:szCs w:val="24"/>
        </w:rPr>
        <w:t>and criminal records</w:t>
      </w:r>
      <w:r w:rsidR="00A43120">
        <w:rPr>
          <w:rFonts w:ascii="Arial" w:hAnsi="Arial" w:cs="Arial"/>
          <w:sz w:val="24"/>
          <w:szCs w:val="24"/>
        </w:rPr>
        <w:t xml:space="preserve"> of parents;</w:t>
      </w:r>
      <w:r w:rsidR="00BA6047">
        <w:rPr>
          <w:rFonts w:ascii="Arial" w:hAnsi="Arial" w:cs="Arial"/>
          <w:sz w:val="24"/>
          <w:szCs w:val="24"/>
        </w:rPr>
        <w:t xml:space="preserve"> </w:t>
      </w:r>
      <w:r w:rsidR="009E56E9">
        <w:rPr>
          <w:rFonts w:ascii="Arial" w:hAnsi="Arial" w:cs="Arial"/>
          <w:sz w:val="24"/>
          <w:szCs w:val="24"/>
        </w:rPr>
        <w:t>relevant medical records for parents and children</w:t>
      </w:r>
      <w:r w:rsidR="007F634A">
        <w:rPr>
          <w:rFonts w:ascii="Arial" w:hAnsi="Arial" w:cs="Arial"/>
          <w:sz w:val="24"/>
          <w:szCs w:val="24"/>
        </w:rPr>
        <w:t xml:space="preserve"> including those related to findings of abuse or neglect</w:t>
      </w:r>
      <w:r w:rsidR="00A43120">
        <w:rPr>
          <w:rFonts w:ascii="Arial" w:hAnsi="Arial" w:cs="Arial"/>
          <w:sz w:val="24"/>
          <w:szCs w:val="24"/>
        </w:rPr>
        <w:t xml:space="preserve">; academic </w:t>
      </w:r>
      <w:r w:rsidR="00B8116B">
        <w:rPr>
          <w:rFonts w:ascii="Arial" w:hAnsi="Arial" w:cs="Arial"/>
          <w:sz w:val="24"/>
          <w:szCs w:val="24"/>
        </w:rPr>
        <w:t xml:space="preserve">and attendance </w:t>
      </w:r>
      <w:r w:rsidR="00A43120">
        <w:rPr>
          <w:rFonts w:ascii="Arial" w:hAnsi="Arial" w:cs="Arial"/>
          <w:sz w:val="24"/>
          <w:szCs w:val="24"/>
        </w:rPr>
        <w:t>records of children</w:t>
      </w:r>
      <w:r w:rsidR="00F82BE6">
        <w:rPr>
          <w:rFonts w:ascii="Arial" w:hAnsi="Arial" w:cs="Arial"/>
          <w:sz w:val="24"/>
          <w:szCs w:val="24"/>
        </w:rPr>
        <w:t>; access notes</w:t>
      </w:r>
      <w:r w:rsidR="00CF69CF">
        <w:rPr>
          <w:rFonts w:ascii="Arial" w:hAnsi="Arial" w:cs="Arial"/>
          <w:sz w:val="24"/>
          <w:szCs w:val="24"/>
        </w:rPr>
        <w:t>; incident reports related to children</w:t>
      </w:r>
      <w:r w:rsidR="007F634A">
        <w:rPr>
          <w:rFonts w:ascii="Arial" w:hAnsi="Arial" w:cs="Arial"/>
          <w:sz w:val="24"/>
          <w:szCs w:val="24"/>
        </w:rPr>
        <w:t>.</w:t>
      </w:r>
      <w:r w:rsidR="00E13C18">
        <w:rPr>
          <w:rStyle w:val="FootnoteReference"/>
          <w:rFonts w:ascii="Arial" w:hAnsi="Arial" w:cs="Arial"/>
          <w:sz w:val="24"/>
          <w:szCs w:val="24"/>
        </w:rPr>
        <w:footnoteReference w:id="25"/>
      </w:r>
    </w:p>
    <w:p w14:paraId="741572CF" w14:textId="77777777" w:rsidR="00CA3A64" w:rsidRDefault="00CA3A64" w:rsidP="00A56A28">
      <w:pPr>
        <w:pStyle w:val="ListParagraph"/>
        <w:ind w:left="360"/>
        <w:rPr>
          <w:rFonts w:ascii="Arial" w:hAnsi="Arial" w:cs="Arial"/>
          <w:sz w:val="24"/>
          <w:szCs w:val="24"/>
        </w:rPr>
      </w:pPr>
    </w:p>
    <w:p w14:paraId="5BFEBAA4" w14:textId="22338CDB" w:rsidR="00DF67FD" w:rsidRDefault="00315B41" w:rsidP="00A56A28">
      <w:pPr>
        <w:pStyle w:val="ListParagraph"/>
        <w:numPr>
          <w:ilvl w:val="0"/>
          <w:numId w:val="9"/>
        </w:numPr>
        <w:ind w:left="360"/>
        <w:rPr>
          <w:rFonts w:ascii="Arial" w:hAnsi="Arial" w:cs="Arial"/>
          <w:sz w:val="24"/>
          <w:szCs w:val="24"/>
        </w:rPr>
      </w:pPr>
      <w:r w:rsidRPr="00F6715D">
        <w:rPr>
          <w:rFonts w:ascii="Arial" w:hAnsi="Arial" w:cs="Arial"/>
          <w:sz w:val="24"/>
          <w:szCs w:val="24"/>
          <w:u w:val="single"/>
        </w:rPr>
        <w:t>Interviews with parents</w:t>
      </w:r>
      <w:r w:rsidR="008850A3">
        <w:rPr>
          <w:rFonts w:ascii="Arial" w:hAnsi="Arial" w:cs="Arial"/>
          <w:sz w:val="24"/>
          <w:szCs w:val="24"/>
        </w:rPr>
        <w:t xml:space="preserve">  </w:t>
      </w:r>
    </w:p>
    <w:p w14:paraId="4FA2C8EF" w14:textId="77777777" w:rsidR="0000534E" w:rsidRDefault="0000534E" w:rsidP="0000534E">
      <w:pPr>
        <w:pStyle w:val="ListParagraph"/>
        <w:ind w:left="360"/>
        <w:rPr>
          <w:rFonts w:ascii="Arial" w:hAnsi="Arial" w:cs="Arial"/>
          <w:sz w:val="24"/>
          <w:szCs w:val="24"/>
        </w:rPr>
      </w:pPr>
    </w:p>
    <w:p w14:paraId="65D1E1E0" w14:textId="0BA76BAB" w:rsidR="00DF67FD" w:rsidRDefault="00CF388E" w:rsidP="00A56A28">
      <w:pPr>
        <w:pStyle w:val="ListParagraph"/>
        <w:ind w:left="360"/>
        <w:rPr>
          <w:rFonts w:ascii="Arial" w:hAnsi="Arial" w:cs="Arial"/>
          <w:sz w:val="24"/>
          <w:szCs w:val="24"/>
        </w:rPr>
      </w:pPr>
      <w:r>
        <w:rPr>
          <w:rFonts w:ascii="Arial" w:hAnsi="Arial" w:cs="Arial"/>
          <w:sz w:val="24"/>
          <w:szCs w:val="24"/>
        </w:rPr>
        <w:t>Where it is possible, m</w:t>
      </w:r>
      <w:r w:rsidR="00DF67FD">
        <w:rPr>
          <w:rFonts w:ascii="Arial" w:hAnsi="Arial" w:cs="Arial"/>
          <w:sz w:val="24"/>
          <w:szCs w:val="24"/>
        </w:rPr>
        <w:t xml:space="preserve">ore than one interview with </w:t>
      </w:r>
      <w:r>
        <w:rPr>
          <w:rFonts w:ascii="Arial" w:hAnsi="Arial" w:cs="Arial"/>
          <w:sz w:val="24"/>
          <w:szCs w:val="24"/>
        </w:rPr>
        <w:t>parents is recommended.</w:t>
      </w:r>
      <w:r w:rsidR="009C174B">
        <w:rPr>
          <w:rFonts w:ascii="Arial" w:hAnsi="Arial" w:cs="Arial"/>
          <w:sz w:val="24"/>
          <w:szCs w:val="24"/>
        </w:rPr>
        <w:t xml:space="preserve"> The authors point out several reasons for </w:t>
      </w:r>
      <w:r w:rsidR="005C22E6">
        <w:rPr>
          <w:rFonts w:ascii="Arial" w:hAnsi="Arial" w:cs="Arial"/>
          <w:sz w:val="24"/>
          <w:szCs w:val="24"/>
        </w:rPr>
        <w:t xml:space="preserve">multiple interviews including </w:t>
      </w:r>
      <w:r w:rsidR="003D2B8D">
        <w:rPr>
          <w:rFonts w:ascii="Arial" w:hAnsi="Arial" w:cs="Arial"/>
          <w:sz w:val="24"/>
          <w:szCs w:val="24"/>
        </w:rPr>
        <w:t xml:space="preserve">the fact that it allows for </w:t>
      </w:r>
      <w:r w:rsidR="002D3F0F">
        <w:rPr>
          <w:rFonts w:ascii="Arial" w:hAnsi="Arial" w:cs="Arial"/>
          <w:sz w:val="24"/>
          <w:szCs w:val="24"/>
        </w:rPr>
        <w:t>an</w:t>
      </w:r>
      <w:r w:rsidR="003D2B8D">
        <w:rPr>
          <w:rFonts w:ascii="Arial" w:hAnsi="Arial" w:cs="Arial"/>
          <w:sz w:val="24"/>
          <w:szCs w:val="24"/>
        </w:rPr>
        <w:t xml:space="preserve"> evaluation of </w:t>
      </w:r>
      <w:r w:rsidR="00D4684A">
        <w:rPr>
          <w:rFonts w:ascii="Arial" w:hAnsi="Arial" w:cs="Arial"/>
          <w:sz w:val="24"/>
          <w:szCs w:val="24"/>
        </w:rPr>
        <w:t>the consistency and validity of the parent’s responses.</w:t>
      </w:r>
    </w:p>
    <w:p w14:paraId="5C796794" w14:textId="5EAEA33C" w:rsidR="007F634A" w:rsidRDefault="008850A3" w:rsidP="00A56A28">
      <w:pPr>
        <w:pStyle w:val="ListParagraph"/>
        <w:ind w:left="360"/>
        <w:rPr>
          <w:rFonts w:ascii="Arial" w:hAnsi="Arial" w:cs="Arial"/>
          <w:sz w:val="24"/>
          <w:szCs w:val="24"/>
        </w:rPr>
      </w:pPr>
      <w:r>
        <w:rPr>
          <w:rFonts w:ascii="Arial" w:hAnsi="Arial" w:cs="Arial"/>
          <w:sz w:val="24"/>
          <w:szCs w:val="24"/>
        </w:rPr>
        <w:t>The</w:t>
      </w:r>
      <w:r w:rsidR="00B00377">
        <w:rPr>
          <w:rFonts w:ascii="Arial" w:hAnsi="Arial" w:cs="Arial"/>
          <w:sz w:val="24"/>
          <w:szCs w:val="24"/>
        </w:rPr>
        <w:t xml:space="preserve">y recommend that the </w:t>
      </w:r>
      <w:r>
        <w:rPr>
          <w:rFonts w:ascii="Arial" w:hAnsi="Arial" w:cs="Arial"/>
          <w:sz w:val="24"/>
          <w:szCs w:val="24"/>
        </w:rPr>
        <w:t xml:space="preserve">interviewer </w:t>
      </w:r>
      <w:r w:rsidR="005C5370">
        <w:rPr>
          <w:rFonts w:ascii="Arial" w:hAnsi="Arial" w:cs="Arial"/>
          <w:sz w:val="24"/>
          <w:szCs w:val="24"/>
        </w:rPr>
        <w:t xml:space="preserve">conduct a mental status examination and </w:t>
      </w:r>
      <w:r>
        <w:rPr>
          <w:rFonts w:ascii="Arial" w:hAnsi="Arial" w:cs="Arial"/>
          <w:sz w:val="24"/>
          <w:szCs w:val="24"/>
        </w:rPr>
        <w:t xml:space="preserve">gather </w:t>
      </w:r>
      <w:r w:rsidR="00580842">
        <w:rPr>
          <w:rFonts w:ascii="Arial" w:hAnsi="Arial" w:cs="Arial"/>
          <w:sz w:val="24"/>
          <w:szCs w:val="24"/>
        </w:rPr>
        <w:t xml:space="preserve">relevant historical and current </w:t>
      </w:r>
      <w:r>
        <w:rPr>
          <w:rFonts w:ascii="Arial" w:hAnsi="Arial" w:cs="Arial"/>
          <w:sz w:val="24"/>
          <w:szCs w:val="24"/>
        </w:rPr>
        <w:t>information about the parent’s</w:t>
      </w:r>
      <w:r w:rsidR="00580842">
        <w:rPr>
          <w:rFonts w:ascii="Arial" w:hAnsi="Arial" w:cs="Arial"/>
          <w:sz w:val="24"/>
          <w:szCs w:val="24"/>
        </w:rPr>
        <w:t xml:space="preserve"> functioning in a variety of areas.</w:t>
      </w:r>
      <w:r>
        <w:rPr>
          <w:rFonts w:ascii="Arial" w:hAnsi="Arial" w:cs="Arial"/>
          <w:sz w:val="24"/>
          <w:szCs w:val="24"/>
        </w:rPr>
        <w:t xml:space="preserve"> </w:t>
      </w:r>
      <w:r w:rsidR="00F2149D">
        <w:rPr>
          <w:rFonts w:ascii="Arial" w:hAnsi="Arial" w:cs="Arial"/>
          <w:sz w:val="24"/>
          <w:szCs w:val="24"/>
        </w:rPr>
        <w:t xml:space="preserve">The authors </w:t>
      </w:r>
      <w:r w:rsidR="00CD642E">
        <w:rPr>
          <w:rFonts w:ascii="Arial" w:hAnsi="Arial" w:cs="Arial"/>
          <w:sz w:val="24"/>
          <w:szCs w:val="24"/>
        </w:rPr>
        <w:t xml:space="preserve">provide a </w:t>
      </w:r>
      <w:r w:rsidR="00247183">
        <w:rPr>
          <w:rFonts w:ascii="Arial" w:hAnsi="Arial" w:cs="Arial"/>
          <w:sz w:val="24"/>
          <w:szCs w:val="24"/>
        </w:rPr>
        <w:t xml:space="preserve">wide-ranging and </w:t>
      </w:r>
      <w:r w:rsidR="00CD642E">
        <w:rPr>
          <w:rFonts w:ascii="Arial" w:hAnsi="Arial" w:cs="Arial"/>
          <w:sz w:val="24"/>
          <w:szCs w:val="24"/>
        </w:rPr>
        <w:t xml:space="preserve">comprehensive </w:t>
      </w:r>
      <w:r w:rsidR="00567F13">
        <w:rPr>
          <w:rFonts w:ascii="Arial" w:hAnsi="Arial" w:cs="Arial"/>
          <w:sz w:val="24"/>
          <w:szCs w:val="24"/>
        </w:rPr>
        <w:t xml:space="preserve">checklist for interview topics that cover all aspects of the </w:t>
      </w:r>
      <w:r w:rsidR="006E7725">
        <w:rPr>
          <w:rFonts w:ascii="Arial" w:hAnsi="Arial" w:cs="Arial"/>
          <w:sz w:val="24"/>
          <w:szCs w:val="24"/>
        </w:rPr>
        <w:t xml:space="preserve">parent’s </w:t>
      </w:r>
      <w:r w:rsidR="0083463D">
        <w:rPr>
          <w:rFonts w:ascii="Arial" w:hAnsi="Arial" w:cs="Arial"/>
          <w:sz w:val="24"/>
          <w:szCs w:val="24"/>
        </w:rPr>
        <w:t xml:space="preserve">life including their own </w:t>
      </w:r>
      <w:r w:rsidR="006F4650">
        <w:rPr>
          <w:rFonts w:ascii="Arial" w:hAnsi="Arial" w:cs="Arial"/>
          <w:sz w:val="24"/>
          <w:szCs w:val="24"/>
        </w:rPr>
        <w:t xml:space="preserve">experience of being parented, level of education, relationship history, employment history, education level, </w:t>
      </w:r>
      <w:r w:rsidR="00834F92">
        <w:rPr>
          <w:rFonts w:ascii="Arial" w:hAnsi="Arial" w:cs="Arial"/>
          <w:sz w:val="24"/>
          <w:szCs w:val="24"/>
        </w:rPr>
        <w:t>medical and mental health history and current coping skills and supports</w:t>
      </w:r>
      <w:r w:rsidR="00800975">
        <w:rPr>
          <w:rFonts w:ascii="Arial" w:hAnsi="Arial" w:cs="Arial"/>
          <w:sz w:val="24"/>
          <w:szCs w:val="24"/>
        </w:rPr>
        <w:t>.</w:t>
      </w:r>
      <w:r w:rsidR="00F904D4">
        <w:rPr>
          <w:rStyle w:val="FootnoteReference"/>
          <w:rFonts w:ascii="Arial" w:hAnsi="Arial" w:cs="Arial"/>
          <w:sz w:val="24"/>
          <w:szCs w:val="24"/>
        </w:rPr>
        <w:footnoteReference w:id="26"/>
      </w:r>
    </w:p>
    <w:p w14:paraId="78F698E1" w14:textId="5A3395C9" w:rsidR="00752780" w:rsidRDefault="00752780" w:rsidP="00A56A28">
      <w:pPr>
        <w:pStyle w:val="ListParagraph"/>
        <w:ind w:left="360"/>
        <w:rPr>
          <w:rFonts w:ascii="Arial" w:hAnsi="Arial" w:cs="Arial"/>
          <w:sz w:val="24"/>
          <w:szCs w:val="24"/>
        </w:rPr>
      </w:pPr>
    </w:p>
    <w:p w14:paraId="08063716" w14:textId="717BEC27" w:rsidR="00BB10C4" w:rsidRDefault="00BB10C4" w:rsidP="00A56A28">
      <w:pPr>
        <w:pStyle w:val="ListParagraph"/>
        <w:ind w:left="360"/>
        <w:rPr>
          <w:rFonts w:ascii="Arial" w:hAnsi="Arial" w:cs="Arial"/>
          <w:sz w:val="24"/>
          <w:szCs w:val="24"/>
        </w:rPr>
      </w:pPr>
    </w:p>
    <w:p w14:paraId="3A1F97F8" w14:textId="6915CC0C" w:rsidR="00BB10C4" w:rsidRDefault="00BB10C4" w:rsidP="00A56A28">
      <w:pPr>
        <w:pStyle w:val="ListParagraph"/>
        <w:ind w:left="360"/>
        <w:rPr>
          <w:rFonts w:ascii="Arial" w:hAnsi="Arial" w:cs="Arial"/>
          <w:sz w:val="24"/>
          <w:szCs w:val="24"/>
        </w:rPr>
      </w:pPr>
    </w:p>
    <w:p w14:paraId="0441E917" w14:textId="77777777" w:rsidR="00BB10C4" w:rsidRDefault="00BB10C4" w:rsidP="00A56A28">
      <w:pPr>
        <w:pStyle w:val="ListParagraph"/>
        <w:ind w:left="360"/>
        <w:rPr>
          <w:rFonts w:ascii="Arial" w:hAnsi="Arial" w:cs="Arial"/>
          <w:sz w:val="24"/>
          <w:szCs w:val="24"/>
        </w:rPr>
      </w:pPr>
    </w:p>
    <w:p w14:paraId="775ACAA0" w14:textId="67DB98BB" w:rsidR="00472D15" w:rsidRPr="007615BF" w:rsidRDefault="007615BF" w:rsidP="00A56A28">
      <w:pPr>
        <w:pStyle w:val="ListParagraph"/>
        <w:numPr>
          <w:ilvl w:val="0"/>
          <w:numId w:val="9"/>
        </w:numPr>
        <w:ind w:left="360"/>
        <w:rPr>
          <w:rFonts w:ascii="Arial" w:hAnsi="Arial" w:cs="Arial"/>
          <w:sz w:val="24"/>
          <w:szCs w:val="24"/>
          <w:u w:val="single"/>
        </w:rPr>
      </w:pPr>
      <w:r w:rsidRPr="007615BF">
        <w:rPr>
          <w:rFonts w:ascii="Arial" w:hAnsi="Arial" w:cs="Arial"/>
          <w:sz w:val="24"/>
          <w:szCs w:val="24"/>
          <w:u w:val="single"/>
        </w:rPr>
        <w:lastRenderedPageBreak/>
        <w:t>Collateral Interviews</w:t>
      </w:r>
    </w:p>
    <w:p w14:paraId="37BF5019" w14:textId="77777777" w:rsidR="002E26A9" w:rsidRPr="002E26A9" w:rsidRDefault="002E26A9" w:rsidP="002E26A9">
      <w:pPr>
        <w:pStyle w:val="ListParagraph"/>
        <w:rPr>
          <w:rFonts w:ascii="Arial" w:hAnsi="Arial" w:cs="Arial"/>
          <w:sz w:val="24"/>
          <w:szCs w:val="24"/>
        </w:rPr>
      </w:pPr>
    </w:p>
    <w:p w14:paraId="01C2DFC6" w14:textId="3F3DAD05" w:rsidR="00F94075" w:rsidRDefault="006037FB" w:rsidP="00A56A28">
      <w:pPr>
        <w:pStyle w:val="ListParagraph"/>
        <w:ind w:left="360"/>
        <w:rPr>
          <w:rFonts w:ascii="Arial" w:hAnsi="Arial" w:cs="Arial"/>
          <w:sz w:val="24"/>
          <w:szCs w:val="24"/>
        </w:rPr>
      </w:pPr>
      <w:r>
        <w:rPr>
          <w:rFonts w:ascii="Arial" w:hAnsi="Arial" w:cs="Arial"/>
          <w:sz w:val="24"/>
          <w:szCs w:val="24"/>
        </w:rPr>
        <w:t xml:space="preserve">The authors </w:t>
      </w:r>
      <w:r w:rsidR="00EC27D3">
        <w:rPr>
          <w:rFonts w:ascii="Arial" w:hAnsi="Arial" w:cs="Arial"/>
          <w:sz w:val="24"/>
          <w:szCs w:val="24"/>
        </w:rPr>
        <w:t xml:space="preserve">suggest that </w:t>
      </w:r>
      <w:r w:rsidR="00951610">
        <w:rPr>
          <w:rFonts w:ascii="Arial" w:hAnsi="Arial" w:cs="Arial"/>
          <w:sz w:val="24"/>
          <w:szCs w:val="24"/>
        </w:rPr>
        <w:t xml:space="preserve">gathering information from </w:t>
      </w:r>
      <w:r w:rsidR="00EC27D3">
        <w:rPr>
          <w:rFonts w:ascii="Arial" w:hAnsi="Arial" w:cs="Arial"/>
          <w:sz w:val="24"/>
          <w:szCs w:val="24"/>
        </w:rPr>
        <w:t xml:space="preserve">collateral sources </w:t>
      </w:r>
      <w:r w:rsidR="00951610">
        <w:rPr>
          <w:rFonts w:ascii="Arial" w:hAnsi="Arial" w:cs="Arial"/>
          <w:sz w:val="24"/>
          <w:szCs w:val="24"/>
        </w:rPr>
        <w:t xml:space="preserve">is also an important step in </w:t>
      </w:r>
      <w:r w:rsidR="00AC7965">
        <w:rPr>
          <w:rFonts w:ascii="Arial" w:hAnsi="Arial" w:cs="Arial"/>
          <w:sz w:val="24"/>
          <w:szCs w:val="24"/>
        </w:rPr>
        <w:t xml:space="preserve">the evaluation.  </w:t>
      </w:r>
      <w:r w:rsidR="00F06C75">
        <w:rPr>
          <w:rFonts w:ascii="Arial" w:hAnsi="Arial" w:cs="Arial"/>
          <w:sz w:val="24"/>
          <w:szCs w:val="24"/>
        </w:rPr>
        <w:t xml:space="preserve">Common collateral sources are </w:t>
      </w:r>
      <w:r w:rsidR="00E404A0">
        <w:rPr>
          <w:rFonts w:ascii="Arial" w:hAnsi="Arial" w:cs="Arial"/>
          <w:sz w:val="24"/>
          <w:szCs w:val="24"/>
        </w:rPr>
        <w:t xml:space="preserve">protection workers, foster parents, collaterals identified by the parents, </w:t>
      </w:r>
      <w:r w:rsidR="00B00033">
        <w:rPr>
          <w:rFonts w:ascii="Arial" w:hAnsi="Arial" w:cs="Arial"/>
          <w:sz w:val="24"/>
          <w:szCs w:val="24"/>
        </w:rPr>
        <w:t xml:space="preserve">service providers and family members </w:t>
      </w:r>
      <w:r w:rsidR="00A42509">
        <w:rPr>
          <w:rFonts w:ascii="Arial" w:hAnsi="Arial" w:cs="Arial"/>
          <w:sz w:val="24"/>
          <w:szCs w:val="24"/>
        </w:rPr>
        <w:t xml:space="preserve">related to the parents.  </w:t>
      </w:r>
      <w:r w:rsidR="00CB5006">
        <w:rPr>
          <w:rFonts w:ascii="Arial" w:hAnsi="Arial" w:cs="Arial"/>
          <w:sz w:val="24"/>
          <w:szCs w:val="24"/>
        </w:rPr>
        <w:t xml:space="preserve">A best practice suggestion is to ask </w:t>
      </w:r>
      <w:r w:rsidR="00E0383E">
        <w:rPr>
          <w:rFonts w:ascii="Arial" w:hAnsi="Arial" w:cs="Arial"/>
          <w:sz w:val="24"/>
          <w:szCs w:val="24"/>
        </w:rPr>
        <w:t xml:space="preserve">each collateral only about the areas where they </w:t>
      </w:r>
      <w:proofErr w:type="gramStart"/>
      <w:r w:rsidR="00E0383E">
        <w:rPr>
          <w:rFonts w:ascii="Arial" w:hAnsi="Arial" w:cs="Arial"/>
          <w:sz w:val="24"/>
          <w:szCs w:val="24"/>
        </w:rPr>
        <w:t>are able to</w:t>
      </w:r>
      <w:proofErr w:type="gramEnd"/>
      <w:r w:rsidR="00E0383E">
        <w:rPr>
          <w:rFonts w:ascii="Arial" w:hAnsi="Arial" w:cs="Arial"/>
          <w:sz w:val="24"/>
          <w:szCs w:val="24"/>
        </w:rPr>
        <w:t xml:space="preserve"> provide reliable and unbiased information.</w:t>
      </w:r>
      <w:r w:rsidR="00051EA4">
        <w:rPr>
          <w:rStyle w:val="FootnoteReference"/>
          <w:rFonts w:ascii="Arial" w:hAnsi="Arial" w:cs="Arial"/>
          <w:sz w:val="24"/>
          <w:szCs w:val="24"/>
        </w:rPr>
        <w:footnoteReference w:id="27"/>
      </w:r>
    </w:p>
    <w:p w14:paraId="3884CF36" w14:textId="77777777" w:rsidR="00991229" w:rsidRDefault="00991229" w:rsidP="00A56A28">
      <w:pPr>
        <w:pStyle w:val="ListParagraph"/>
        <w:ind w:left="360"/>
        <w:rPr>
          <w:rFonts w:ascii="Arial" w:hAnsi="Arial" w:cs="Arial"/>
          <w:sz w:val="24"/>
          <w:szCs w:val="24"/>
        </w:rPr>
      </w:pPr>
    </w:p>
    <w:p w14:paraId="43949FB2" w14:textId="707AEE7D" w:rsidR="002E26A9" w:rsidRDefault="00F94075" w:rsidP="00A56A28">
      <w:pPr>
        <w:pStyle w:val="ListParagraph"/>
        <w:numPr>
          <w:ilvl w:val="0"/>
          <w:numId w:val="9"/>
        </w:numPr>
        <w:ind w:left="360"/>
        <w:rPr>
          <w:rFonts w:ascii="Arial" w:hAnsi="Arial" w:cs="Arial"/>
          <w:sz w:val="24"/>
          <w:szCs w:val="24"/>
          <w:u w:val="single"/>
        </w:rPr>
      </w:pPr>
      <w:r w:rsidRPr="00F94075">
        <w:rPr>
          <w:rFonts w:ascii="Arial" w:hAnsi="Arial" w:cs="Arial"/>
          <w:sz w:val="24"/>
          <w:szCs w:val="24"/>
          <w:u w:val="single"/>
        </w:rPr>
        <w:t>Parent-Child Observations</w:t>
      </w:r>
    </w:p>
    <w:p w14:paraId="371C1DC2" w14:textId="4CAE6821" w:rsidR="00F94075" w:rsidRDefault="00F94075" w:rsidP="00A56A28">
      <w:pPr>
        <w:pStyle w:val="ListParagraph"/>
        <w:ind w:left="360"/>
        <w:rPr>
          <w:rFonts w:ascii="Arial" w:hAnsi="Arial" w:cs="Arial"/>
          <w:sz w:val="24"/>
          <w:szCs w:val="24"/>
          <w:u w:val="single"/>
        </w:rPr>
      </w:pPr>
    </w:p>
    <w:p w14:paraId="795BB184" w14:textId="124C4ED1" w:rsidR="00F46ADD" w:rsidRDefault="004F2548" w:rsidP="00A56A28">
      <w:pPr>
        <w:pStyle w:val="ListParagraph"/>
        <w:ind w:left="360"/>
        <w:rPr>
          <w:rFonts w:ascii="Arial" w:hAnsi="Arial" w:cs="Arial"/>
          <w:sz w:val="24"/>
          <w:szCs w:val="24"/>
        </w:rPr>
      </w:pPr>
      <w:r>
        <w:rPr>
          <w:rFonts w:ascii="Arial" w:hAnsi="Arial" w:cs="Arial"/>
          <w:sz w:val="24"/>
          <w:szCs w:val="24"/>
        </w:rPr>
        <w:t xml:space="preserve">The authors highlight that </w:t>
      </w:r>
      <w:r w:rsidR="00E50965">
        <w:rPr>
          <w:rFonts w:ascii="Arial" w:hAnsi="Arial" w:cs="Arial"/>
          <w:sz w:val="24"/>
          <w:szCs w:val="24"/>
        </w:rPr>
        <w:t xml:space="preserve">parent-child observations should take place in </w:t>
      </w:r>
      <w:r w:rsidR="003517A9">
        <w:rPr>
          <w:rFonts w:ascii="Arial" w:hAnsi="Arial" w:cs="Arial"/>
          <w:sz w:val="24"/>
          <w:szCs w:val="24"/>
        </w:rPr>
        <w:t>a set</w:t>
      </w:r>
      <w:r w:rsidR="00265D50">
        <w:rPr>
          <w:rFonts w:ascii="Arial" w:hAnsi="Arial" w:cs="Arial"/>
          <w:sz w:val="24"/>
          <w:szCs w:val="24"/>
        </w:rPr>
        <w:t>ting where the parent and child are used to interacting</w:t>
      </w:r>
      <w:r w:rsidR="005C6E1F">
        <w:rPr>
          <w:rFonts w:ascii="Arial" w:hAnsi="Arial" w:cs="Arial"/>
          <w:sz w:val="24"/>
          <w:szCs w:val="24"/>
        </w:rPr>
        <w:t xml:space="preserve"> and where </w:t>
      </w:r>
      <w:r w:rsidR="003F76AE">
        <w:rPr>
          <w:rFonts w:ascii="Arial" w:hAnsi="Arial" w:cs="Arial"/>
          <w:sz w:val="24"/>
          <w:szCs w:val="24"/>
        </w:rPr>
        <w:t>they feel most comfortable</w:t>
      </w:r>
      <w:r w:rsidR="00265D50">
        <w:rPr>
          <w:rFonts w:ascii="Arial" w:hAnsi="Arial" w:cs="Arial"/>
          <w:sz w:val="24"/>
          <w:szCs w:val="24"/>
        </w:rPr>
        <w:t xml:space="preserve">.  </w:t>
      </w:r>
      <w:r w:rsidR="00B95763">
        <w:rPr>
          <w:rFonts w:ascii="Arial" w:hAnsi="Arial" w:cs="Arial"/>
          <w:sz w:val="24"/>
          <w:szCs w:val="24"/>
        </w:rPr>
        <w:t>This could be the home environment</w:t>
      </w:r>
      <w:r w:rsidR="008129AF">
        <w:rPr>
          <w:rFonts w:ascii="Arial" w:hAnsi="Arial" w:cs="Arial"/>
          <w:sz w:val="24"/>
          <w:szCs w:val="24"/>
        </w:rPr>
        <w:t xml:space="preserve">, </w:t>
      </w:r>
      <w:r w:rsidR="00654513">
        <w:rPr>
          <w:rFonts w:ascii="Arial" w:hAnsi="Arial" w:cs="Arial"/>
          <w:sz w:val="24"/>
          <w:szCs w:val="24"/>
        </w:rPr>
        <w:t xml:space="preserve">a community park if weather permits, </w:t>
      </w:r>
      <w:r w:rsidR="00B07606">
        <w:rPr>
          <w:rFonts w:ascii="Arial" w:hAnsi="Arial" w:cs="Arial"/>
          <w:sz w:val="24"/>
          <w:szCs w:val="24"/>
        </w:rPr>
        <w:t xml:space="preserve">or the </w:t>
      </w:r>
      <w:r w:rsidR="003F76AE">
        <w:rPr>
          <w:rFonts w:ascii="Arial" w:hAnsi="Arial" w:cs="Arial"/>
          <w:sz w:val="24"/>
          <w:szCs w:val="24"/>
        </w:rPr>
        <w:t xml:space="preserve">agency access </w:t>
      </w:r>
      <w:r w:rsidR="008129AF">
        <w:rPr>
          <w:rFonts w:ascii="Arial" w:hAnsi="Arial" w:cs="Arial"/>
          <w:sz w:val="24"/>
          <w:szCs w:val="24"/>
        </w:rPr>
        <w:t xml:space="preserve">centre </w:t>
      </w:r>
      <w:r w:rsidR="00B07606">
        <w:rPr>
          <w:rFonts w:ascii="Arial" w:hAnsi="Arial" w:cs="Arial"/>
          <w:sz w:val="24"/>
          <w:szCs w:val="24"/>
        </w:rPr>
        <w:t xml:space="preserve">depending on the current access arrangements and </w:t>
      </w:r>
      <w:r w:rsidR="00654513">
        <w:rPr>
          <w:rFonts w:ascii="Arial" w:hAnsi="Arial" w:cs="Arial"/>
          <w:sz w:val="24"/>
          <w:szCs w:val="24"/>
        </w:rPr>
        <w:t>the length of time the child has been in care</w:t>
      </w:r>
      <w:r w:rsidR="00B07606">
        <w:rPr>
          <w:rFonts w:ascii="Arial" w:hAnsi="Arial" w:cs="Arial"/>
          <w:sz w:val="24"/>
          <w:szCs w:val="24"/>
        </w:rPr>
        <w:t>.</w:t>
      </w:r>
      <w:r w:rsidR="005C6E1F">
        <w:rPr>
          <w:rFonts w:ascii="Arial" w:hAnsi="Arial" w:cs="Arial"/>
          <w:sz w:val="24"/>
          <w:szCs w:val="24"/>
        </w:rPr>
        <w:t xml:space="preserve">  </w:t>
      </w:r>
      <w:r w:rsidR="00F46ADD">
        <w:rPr>
          <w:rFonts w:ascii="Arial" w:hAnsi="Arial" w:cs="Arial"/>
          <w:sz w:val="24"/>
          <w:szCs w:val="24"/>
        </w:rPr>
        <w:t xml:space="preserve">The authors recommend </w:t>
      </w:r>
      <w:r w:rsidR="00135CEB">
        <w:rPr>
          <w:rFonts w:ascii="Arial" w:hAnsi="Arial" w:cs="Arial"/>
          <w:sz w:val="24"/>
          <w:szCs w:val="24"/>
        </w:rPr>
        <w:t xml:space="preserve">as a best practice observing both structured </w:t>
      </w:r>
      <w:r w:rsidR="0054660F">
        <w:rPr>
          <w:rFonts w:ascii="Arial" w:hAnsi="Arial" w:cs="Arial"/>
          <w:sz w:val="24"/>
          <w:szCs w:val="24"/>
        </w:rPr>
        <w:t xml:space="preserve">(such as a mealtime or bath time) </w:t>
      </w:r>
      <w:r w:rsidR="00135CEB">
        <w:rPr>
          <w:rFonts w:ascii="Arial" w:hAnsi="Arial" w:cs="Arial"/>
          <w:sz w:val="24"/>
          <w:szCs w:val="24"/>
        </w:rPr>
        <w:t>and unstructured activities between parent and child.</w:t>
      </w:r>
      <w:r w:rsidR="001942E2">
        <w:rPr>
          <w:rStyle w:val="FootnoteReference"/>
          <w:rFonts w:ascii="Arial" w:hAnsi="Arial" w:cs="Arial"/>
          <w:sz w:val="24"/>
          <w:szCs w:val="24"/>
        </w:rPr>
        <w:footnoteReference w:id="28"/>
      </w:r>
      <w:r w:rsidR="00D86260">
        <w:rPr>
          <w:rFonts w:ascii="Arial" w:hAnsi="Arial" w:cs="Arial"/>
          <w:sz w:val="24"/>
          <w:szCs w:val="24"/>
        </w:rPr>
        <w:t xml:space="preserve"> </w:t>
      </w:r>
      <w:r w:rsidR="00044F9B">
        <w:rPr>
          <w:rFonts w:ascii="Arial" w:hAnsi="Arial" w:cs="Arial"/>
          <w:sz w:val="24"/>
          <w:szCs w:val="24"/>
        </w:rPr>
        <w:t>With respect to the number of observational sessions, they</w:t>
      </w:r>
      <w:r w:rsidR="00F133DC">
        <w:rPr>
          <w:rFonts w:ascii="Arial" w:hAnsi="Arial" w:cs="Arial"/>
          <w:sz w:val="24"/>
          <w:szCs w:val="24"/>
        </w:rPr>
        <w:t xml:space="preserve"> point out that there is no consensus</w:t>
      </w:r>
      <w:r w:rsidR="00B530F3">
        <w:rPr>
          <w:rFonts w:ascii="Arial" w:hAnsi="Arial" w:cs="Arial"/>
          <w:sz w:val="24"/>
          <w:szCs w:val="24"/>
        </w:rPr>
        <w:t xml:space="preserve"> in the literature but there is some indication that more than one increases the validity of the conclusions drawn</w:t>
      </w:r>
      <w:r w:rsidR="00DE58E8">
        <w:rPr>
          <w:rFonts w:ascii="Arial" w:hAnsi="Arial" w:cs="Arial"/>
          <w:sz w:val="24"/>
          <w:szCs w:val="24"/>
        </w:rPr>
        <w:t xml:space="preserve"> and allows for observation of patterns of behaviour.</w:t>
      </w:r>
      <w:r w:rsidR="00B530F3">
        <w:rPr>
          <w:rStyle w:val="FootnoteReference"/>
          <w:rFonts w:ascii="Arial" w:hAnsi="Arial" w:cs="Arial"/>
          <w:sz w:val="24"/>
          <w:szCs w:val="24"/>
        </w:rPr>
        <w:footnoteReference w:id="29"/>
      </w:r>
      <w:r w:rsidR="00B37AD7">
        <w:rPr>
          <w:rFonts w:ascii="Arial" w:hAnsi="Arial" w:cs="Arial"/>
          <w:sz w:val="24"/>
          <w:szCs w:val="24"/>
        </w:rPr>
        <w:t xml:space="preserve"> No specific length of time is recommended </w:t>
      </w:r>
      <w:r w:rsidR="00E526EF">
        <w:rPr>
          <w:rFonts w:ascii="Arial" w:hAnsi="Arial" w:cs="Arial"/>
          <w:sz w:val="24"/>
          <w:szCs w:val="24"/>
        </w:rPr>
        <w:t>although visits longer than one hour are suggested.</w:t>
      </w:r>
      <w:r w:rsidR="00E526EF">
        <w:rPr>
          <w:rStyle w:val="FootnoteReference"/>
          <w:rFonts w:ascii="Arial" w:hAnsi="Arial" w:cs="Arial"/>
          <w:sz w:val="24"/>
          <w:szCs w:val="24"/>
        </w:rPr>
        <w:footnoteReference w:id="30"/>
      </w:r>
    </w:p>
    <w:p w14:paraId="5ACFAE73" w14:textId="77777777" w:rsidR="00F46ADD" w:rsidRDefault="00F46ADD" w:rsidP="00A56A28">
      <w:pPr>
        <w:pStyle w:val="ListParagraph"/>
        <w:ind w:left="360"/>
        <w:rPr>
          <w:rFonts w:ascii="Arial" w:hAnsi="Arial" w:cs="Arial"/>
          <w:sz w:val="24"/>
          <w:szCs w:val="24"/>
        </w:rPr>
      </w:pPr>
    </w:p>
    <w:p w14:paraId="59DD8CDC" w14:textId="38411D8D" w:rsidR="00F94075" w:rsidRDefault="00A06920" w:rsidP="00A56A28">
      <w:pPr>
        <w:pStyle w:val="ListParagraph"/>
        <w:ind w:left="360"/>
        <w:rPr>
          <w:rFonts w:ascii="Arial" w:hAnsi="Arial" w:cs="Arial"/>
          <w:sz w:val="24"/>
          <w:szCs w:val="24"/>
        </w:rPr>
      </w:pPr>
      <w:r>
        <w:rPr>
          <w:rFonts w:ascii="Arial" w:hAnsi="Arial" w:cs="Arial"/>
          <w:sz w:val="24"/>
          <w:szCs w:val="24"/>
        </w:rPr>
        <w:t xml:space="preserve">The authors underscore that </w:t>
      </w:r>
      <w:r w:rsidR="005F531C">
        <w:rPr>
          <w:rFonts w:ascii="Arial" w:hAnsi="Arial" w:cs="Arial"/>
          <w:sz w:val="24"/>
          <w:szCs w:val="24"/>
        </w:rPr>
        <w:t xml:space="preserve">the parent-child observation provides “concrete information about </w:t>
      </w:r>
      <w:r w:rsidR="00F66FFA">
        <w:rPr>
          <w:rFonts w:ascii="Arial" w:hAnsi="Arial" w:cs="Arial"/>
          <w:sz w:val="24"/>
          <w:szCs w:val="24"/>
        </w:rPr>
        <w:t xml:space="preserve">the parent’s caregiving strengths and weaknesses, ability to meet the child’s individual needs, </w:t>
      </w:r>
      <w:r w:rsidR="006447C2">
        <w:rPr>
          <w:rFonts w:ascii="Arial" w:hAnsi="Arial" w:cs="Arial"/>
          <w:sz w:val="24"/>
          <w:szCs w:val="24"/>
        </w:rPr>
        <w:t>and the nature of the parent-child relationship.”</w:t>
      </w:r>
      <w:r w:rsidR="006447C2">
        <w:rPr>
          <w:rStyle w:val="FootnoteReference"/>
          <w:rFonts w:ascii="Arial" w:hAnsi="Arial" w:cs="Arial"/>
          <w:sz w:val="24"/>
          <w:szCs w:val="24"/>
        </w:rPr>
        <w:footnoteReference w:id="31"/>
      </w:r>
      <w:r w:rsidR="00361904">
        <w:rPr>
          <w:rFonts w:ascii="Arial" w:hAnsi="Arial" w:cs="Arial"/>
          <w:sz w:val="24"/>
          <w:szCs w:val="24"/>
        </w:rPr>
        <w:t xml:space="preserve"> </w:t>
      </w:r>
      <w:r w:rsidR="00943096">
        <w:rPr>
          <w:rFonts w:ascii="Arial" w:hAnsi="Arial" w:cs="Arial"/>
          <w:sz w:val="24"/>
          <w:szCs w:val="24"/>
        </w:rPr>
        <w:t>In addition, important observations can be made about the general functioning (</w:t>
      </w:r>
      <w:proofErr w:type="spellStart"/>
      <w:r w:rsidR="00943096">
        <w:rPr>
          <w:rFonts w:ascii="Arial" w:hAnsi="Arial" w:cs="Arial"/>
          <w:sz w:val="24"/>
          <w:szCs w:val="24"/>
        </w:rPr>
        <w:t>eg.</w:t>
      </w:r>
      <w:proofErr w:type="spellEnd"/>
      <w:r w:rsidR="00943096">
        <w:rPr>
          <w:rFonts w:ascii="Arial" w:hAnsi="Arial" w:cs="Arial"/>
          <w:sz w:val="24"/>
          <w:szCs w:val="24"/>
        </w:rPr>
        <w:t xml:space="preserve"> Emotional, </w:t>
      </w:r>
      <w:proofErr w:type="gramStart"/>
      <w:r w:rsidR="00943096">
        <w:rPr>
          <w:rFonts w:ascii="Arial" w:hAnsi="Arial" w:cs="Arial"/>
          <w:sz w:val="24"/>
          <w:szCs w:val="24"/>
        </w:rPr>
        <w:t>behavioral</w:t>
      </w:r>
      <w:proofErr w:type="gramEnd"/>
      <w:r w:rsidR="00943096">
        <w:rPr>
          <w:rFonts w:ascii="Arial" w:hAnsi="Arial" w:cs="Arial"/>
          <w:sz w:val="24"/>
          <w:szCs w:val="24"/>
        </w:rPr>
        <w:t xml:space="preserve"> and social) of the parent and the child.</w:t>
      </w:r>
      <w:r w:rsidR="00D23CBD">
        <w:rPr>
          <w:rStyle w:val="FootnoteReference"/>
          <w:rFonts w:ascii="Arial" w:hAnsi="Arial" w:cs="Arial"/>
          <w:sz w:val="24"/>
          <w:szCs w:val="24"/>
        </w:rPr>
        <w:footnoteReference w:id="32"/>
      </w:r>
      <w:r w:rsidR="005E6B20">
        <w:rPr>
          <w:rFonts w:ascii="Arial" w:hAnsi="Arial" w:cs="Arial"/>
          <w:sz w:val="24"/>
          <w:szCs w:val="24"/>
        </w:rPr>
        <w:t xml:space="preserve">  The authors provide </w:t>
      </w:r>
      <w:r w:rsidR="00D17965">
        <w:rPr>
          <w:rFonts w:ascii="Arial" w:hAnsi="Arial" w:cs="Arial"/>
          <w:sz w:val="24"/>
          <w:szCs w:val="24"/>
        </w:rPr>
        <w:t xml:space="preserve">comprehensive and detailed guidance </w:t>
      </w:r>
      <w:r w:rsidR="00843EA7">
        <w:rPr>
          <w:rFonts w:ascii="Arial" w:hAnsi="Arial" w:cs="Arial"/>
          <w:sz w:val="24"/>
          <w:szCs w:val="24"/>
        </w:rPr>
        <w:t xml:space="preserve">for the assessor </w:t>
      </w:r>
      <w:r w:rsidR="004D2C57">
        <w:rPr>
          <w:rFonts w:ascii="Arial" w:hAnsi="Arial" w:cs="Arial"/>
          <w:sz w:val="24"/>
          <w:szCs w:val="24"/>
        </w:rPr>
        <w:t>with respect to areas to assess during an observation visit.</w:t>
      </w:r>
      <w:r w:rsidR="006B6C66">
        <w:rPr>
          <w:rStyle w:val="FootnoteReference"/>
          <w:rFonts w:ascii="Arial" w:hAnsi="Arial" w:cs="Arial"/>
          <w:sz w:val="24"/>
          <w:szCs w:val="24"/>
        </w:rPr>
        <w:footnoteReference w:id="33"/>
      </w:r>
    </w:p>
    <w:p w14:paraId="351774C7" w14:textId="77777777" w:rsidR="003309DE" w:rsidRDefault="003309DE" w:rsidP="00A56A28">
      <w:pPr>
        <w:pStyle w:val="ListParagraph"/>
        <w:ind w:left="360"/>
        <w:rPr>
          <w:rFonts w:ascii="Arial" w:hAnsi="Arial" w:cs="Arial"/>
          <w:sz w:val="24"/>
          <w:szCs w:val="24"/>
        </w:rPr>
      </w:pPr>
    </w:p>
    <w:p w14:paraId="78E342F9" w14:textId="3DFED74A" w:rsidR="00F93B59" w:rsidRPr="00DC070D" w:rsidRDefault="00F93B59" w:rsidP="00DC070D">
      <w:pPr>
        <w:pStyle w:val="ListParagraph"/>
        <w:numPr>
          <w:ilvl w:val="0"/>
          <w:numId w:val="9"/>
        </w:numPr>
        <w:ind w:left="426" w:hanging="426"/>
        <w:rPr>
          <w:rFonts w:ascii="Arial" w:hAnsi="Arial" w:cs="Arial"/>
          <w:sz w:val="24"/>
          <w:szCs w:val="24"/>
          <w:u w:val="single"/>
        </w:rPr>
      </w:pPr>
      <w:r w:rsidRPr="00DC070D">
        <w:rPr>
          <w:rFonts w:ascii="Arial" w:hAnsi="Arial" w:cs="Arial"/>
          <w:sz w:val="24"/>
          <w:szCs w:val="24"/>
          <w:u w:val="single"/>
        </w:rPr>
        <w:t>Psychological Testing</w:t>
      </w:r>
    </w:p>
    <w:p w14:paraId="744282EA" w14:textId="235EDCCD" w:rsidR="00A6692F" w:rsidRDefault="00DE7E5A" w:rsidP="00A56A28">
      <w:pPr>
        <w:ind w:left="360"/>
        <w:rPr>
          <w:rFonts w:ascii="Arial" w:hAnsi="Arial" w:cs="Arial"/>
          <w:sz w:val="24"/>
          <w:szCs w:val="24"/>
        </w:rPr>
      </w:pPr>
      <w:r>
        <w:rPr>
          <w:rFonts w:ascii="Arial" w:hAnsi="Arial" w:cs="Arial"/>
          <w:sz w:val="24"/>
          <w:szCs w:val="24"/>
        </w:rPr>
        <w:t xml:space="preserve">Budd et al. recommend a cautious approach to the use of testing </w:t>
      </w:r>
      <w:r w:rsidR="003F0158">
        <w:rPr>
          <w:rFonts w:ascii="Arial" w:hAnsi="Arial" w:cs="Arial"/>
          <w:sz w:val="24"/>
          <w:szCs w:val="24"/>
        </w:rPr>
        <w:t>in a parenting capacity assessment</w:t>
      </w:r>
      <w:r w:rsidR="004E211E">
        <w:rPr>
          <w:rFonts w:ascii="Arial" w:hAnsi="Arial" w:cs="Arial"/>
          <w:sz w:val="24"/>
          <w:szCs w:val="24"/>
        </w:rPr>
        <w:t xml:space="preserve">, suggesting </w:t>
      </w:r>
      <w:r w:rsidR="00BB384F">
        <w:rPr>
          <w:rFonts w:ascii="Arial" w:hAnsi="Arial" w:cs="Arial"/>
          <w:sz w:val="24"/>
          <w:szCs w:val="24"/>
        </w:rPr>
        <w:t xml:space="preserve">consideration of the following: </w:t>
      </w:r>
      <w:r w:rsidR="00C34C76">
        <w:rPr>
          <w:rFonts w:ascii="Arial" w:hAnsi="Arial" w:cs="Arial"/>
          <w:sz w:val="24"/>
          <w:szCs w:val="24"/>
        </w:rPr>
        <w:t xml:space="preserve">(1) </w:t>
      </w:r>
      <w:r w:rsidR="00A81B61">
        <w:rPr>
          <w:rFonts w:ascii="Arial" w:hAnsi="Arial" w:cs="Arial"/>
          <w:sz w:val="24"/>
          <w:szCs w:val="24"/>
        </w:rPr>
        <w:t xml:space="preserve">Will the test obtain relevant evidence that </w:t>
      </w:r>
      <w:r w:rsidR="00DB692D">
        <w:rPr>
          <w:rFonts w:ascii="Arial" w:hAnsi="Arial" w:cs="Arial"/>
          <w:sz w:val="24"/>
          <w:szCs w:val="24"/>
        </w:rPr>
        <w:t>cannot be obtained through other means? (</w:t>
      </w:r>
      <w:proofErr w:type="spellStart"/>
      <w:proofErr w:type="gramStart"/>
      <w:r w:rsidR="00DB692D">
        <w:rPr>
          <w:rFonts w:ascii="Arial" w:hAnsi="Arial" w:cs="Arial"/>
          <w:sz w:val="24"/>
          <w:szCs w:val="24"/>
        </w:rPr>
        <w:t>eg</w:t>
      </w:r>
      <w:proofErr w:type="gramEnd"/>
      <w:r w:rsidR="00DB692D">
        <w:rPr>
          <w:rFonts w:ascii="Arial" w:hAnsi="Arial" w:cs="Arial"/>
          <w:sz w:val="24"/>
          <w:szCs w:val="24"/>
        </w:rPr>
        <w:t>.</w:t>
      </w:r>
      <w:proofErr w:type="spellEnd"/>
      <w:r w:rsidR="00DB692D">
        <w:rPr>
          <w:rFonts w:ascii="Arial" w:hAnsi="Arial" w:cs="Arial"/>
          <w:sz w:val="24"/>
          <w:szCs w:val="24"/>
        </w:rPr>
        <w:t xml:space="preserve"> Review </w:t>
      </w:r>
      <w:r w:rsidR="00DB692D">
        <w:rPr>
          <w:rFonts w:ascii="Arial" w:hAnsi="Arial" w:cs="Arial"/>
          <w:sz w:val="24"/>
          <w:szCs w:val="24"/>
        </w:rPr>
        <w:lastRenderedPageBreak/>
        <w:t xml:space="preserve">of records, </w:t>
      </w:r>
      <w:r w:rsidR="00872ADB">
        <w:rPr>
          <w:rFonts w:ascii="Arial" w:hAnsi="Arial" w:cs="Arial"/>
          <w:sz w:val="24"/>
          <w:szCs w:val="24"/>
        </w:rPr>
        <w:t>clinical or collateral interviews)</w:t>
      </w:r>
      <w:r w:rsidR="00DB692D">
        <w:rPr>
          <w:rFonts w:ascii="Arial" w:hAnsi="Arial" w:cs="Arial"/>
          <w:sz w:val="24"/>
          <w:szCs w:val="24"/>
        </w:rPr>
        <w:t xml:space="preserve">; (2) </w:t>
      </w:r>
      <w:r w:rsidR="00306DCD">
        <w:rPr>
          <w:rFonts w:ascii="Arial" w:hAnsi="Arial" w:cs="Arial"/>
          <w:sz w:val="24"/>
          <w:szCs w:val="24"/>
        </w:rPr>
        <w:t xml:space="preserve">Will the test </w:t>
      </w:r>
      <w:r w:rsidR="004363F2">
        <w:rPr>
          <w:rFonts w:ascii="Arial" w:hAnsi="Arial" w:cs="Arial"/>
          <w:sz w:val="24"/>
          <w:szCs w:val="24"/>
        </w:rPr>
        <w:t xml:space="preserve">provide relevant concurrent data on relevant </w:t>
      </w:r>
      <w:proofErr w:type="gramStart"/>
      <w:r w:rsidR="004363F2">
        <w:rPr>
          <w:rFonts w:ascii="Arial" w:hAnsi="Arial" w:cs="Arial"/>
          <w:sz w:val="24"/>
          <w:szCs w:val="24"/>
        </w:rPr>
        <w:t>constructs</w:t>
      </w:r>
      <w:r w:rsidR="002867A4">
        <w:rPr>
          <w:rFonts w:ascii="Arial" w:hAnsi="Arial" w:cs="Arial"/>
          <w:sz w:val="24"/>
          <w:szCs w:val="24"/>
        </w:rPr>
        <w:t>?;</w:t>
      </w:r>
      <w:proofErr w:type="gramEnd"/>
      <w:r w:rsidR="002867A4">
        <w:rPr>
          <w:rFonts w:ascii="Arial" w:hAnsi="Arial" w:cs="Arial"/>
          <w:sz w:val="24"/>
          <w:szCs w:val="24"/>
        </w:rPr>
        <w:t xml:space="preserve"> (3) Is there evidence that test is valid and reliable for its intended use?; (4) </w:t>
      </w:r>
      <w:r w:rsidR="00962BCF">
        <w:rPr>
          <w:rFonts w:ascii="Arial" w:hAnsi="Arial" w:cs="Arial"/>
          <w:sz w:val="24"/>
          <w:szCs w:val="24"/>
        </w:rPr>
        <w:t xml:space="preserve">Is there evidence regarding </w:t>
      </w:r>
      <w:r w:rsidR="00696993">
        <w:rPr>
          <w:rFonts w:ascii="Arial" w:hAnsi="Arial" w:cs="Arial"/>
          <w:sz w:val="24"/>
          <w:szCs w:val="24"/>
        </w:rPr>
        <w:t>use of the instrument with the examinee’s demographic, cultural or ethnic group?</w:t>
      </w:r>
    </w:p>
    <w:p w14:paraId="52AA4C1F" w14:textId="56721718" w:rsidR="008D5142" w:rsidRDefault="00114112" w:rsidP="000A6093">
      <w:pPr>
        <w:ind w:left="360"/>
        <w:rPr>
          <w:rFonts w:ascii="Arial" w:hAnsi="Arial" w:cs="Arial"/>
          <w:sz w:val="24"/>
          <w:szCs w:val="24"/>
        </w:rPr>
      </w:pPr>
      <w:r>
        <w:rPr>
          <w:rFonts w:ascii="Arial" w:hAnsi="Arial" w:cs="Arial"/>
          <w:sz w:val="24"/>
          <w:szCs w:val="24"/>
        </w:rPr>
        <w:t>Testing</w:t>
      </w:r>
      <w:r w:rsidR="008D3FBF">
        <w:rPr>
          <w:rFonts w:ascii="Arial" w:hAnsi="Arial" w:cs="Arial"/>
          <w:sz w:val="24"/>
          <w:szCs w:val="24"/>
        </w:rPr>
        <w:t xml:space="preserve"> instruments are grouped by the </w:t>
      </w:r>
      <w:r w:rsidR="005C341E">
        <w:rPr>
          <w:rFonts w:ascii="Arial" w:hAnsi="Arial" w:cs="Arial"/>
          <w:sz w:val="24"/>
          <w:szCs w:val="24"/>
        </w:rPr>
        <w:t xml:space="preserve">authors into two groups: (1) </w:t>
      </w:r>
      <w:r w:rsidR="00D73593">
        <w:rPr>
          <w:rFonts w:ascii="Arial" w:hAnsi="Arial" w:cs="Arial"/>
          <w:sz w:val="24"/>
          <w:szCs w:val="24"/>
        </w:rPr>
        <w:t>Traditional P</w:t>
      </w:r>
      <w:r w:rsidR="005C341E">
        <w:rPr>
          <w:rFonts w:ascii="Arial" w:hAnsi="Arial" w:cs="Arial"/>
          <w:sz w:val="24"/>
          <w:szCs w:val="24"/>
        </w:rPr>
        <w:t>sych</w:t>
      </w:r>
      <w:r w:rsidR="00D73593">
        <w:rPr>
          <w:rFonts w:ascii="Arial" w:hAnsi="Arial" w:cs="Arial"/>
          <w:sz w:val="24"/>
          <w:szCs w:val="24"/>
        </w:rPr>
        <w:t xml:space="preserve">ological Tests </w:t>
      </w:r>
      <w:proofErr w:type="gramStart"/>
      <w:r w:rsidR="00D73593">
        <w:rPr>
          <w:rFonts w:ascii="Arial" w:hAnsi="Arial" w:cs="Arial"/>
          <w:sz w:val="24"/>
          <w:szCs w:val="24"/>
        </w:rPr>
        <w:t>and</w:t>
      </w:r>
      <w:r w:rsidR="003065D7">
        <w:rPr>
          <w:rFonts w:ascii="Arial" w:hAnsi="Arial" w:cs="Arial"/>
          <w:sz w:val="24"/>
          <w:szCs w:val="24"/>
        </w:rPr>
        <w:t>;</w:t>
      </w:r>
      <w:proofErr w:type="gramEnd"/>
      <w:r w:rsidR="00D73593">
        <w:rPr>
          <w:rFonts w:ascii="Arial" w:hAnsi="Arial" w:cs="Arial"/>
          <w:sz w:val="24"/>
          <w:szCs w:val="24"/>
        </w:rPr>
        <w:t xml:space="preserve"> (2) </w:t>
      </w:r>
      <w:r w:rsidR="00351EB9">
        <w:rPr>
          <w:rFonts w:ascii="Arial" w:hAnsi="Arial" w:cs="Arial"/>
          <w:sz w:val="24"/>
          <w:szCs w:val="24"/>
        </w:rPr>
        <w:t>Tests of Parenting Knowledge, Beliefs and Perceptions</w:t>
      </w:r>
      <w:r w:rsidR="008D5142">
        <w:rPr>
          <w:rFonts w:ascii="Arial" w:hAnsi="Arial" w:cs="Arial"/>
          <w:sz w:val="24"/>
          <w:szCs w:val="24"/>
        </w:rPr>
        <w:t>.</w:t>
      </w:r>
      <w:r w:rsidR="000A6093">
        <w:rPr>
          <w:rFonts w:ascii="Arial" w:hAnsi="Arial" w:cs="Arial"/>
          <w:sz w:val="24"/>
          <w:szCs w:val="24"/>
        </w:rPr>
        <w:t xml:space="preserve">  T</w:t>
      </w:r>
      <w:r w:rsidR="007E2632">
        <w:rPr>
          <w:rFonts w:ascii="Arial" w:hAnsi="Arial" w:cs="Arial"/>
          <w:sz w:val="24"/>
          <w:szCs w:val="24"/>
        </w:rPr>
        <w:t>ra</w:t>
      </w:r>
      <w:r w:rsidR="00C0430B">
        <w:rPr>
          <w:rFonts w:ascii="Arial" w:hAnsi="Arial" w:cs="Arial"/>
          <w:sz w:val="24"/>
          <w:szCs w:val="24"/>
        </w:rPr>
        <w:t xml:space="preserve">ditional psychological tests </w:t>
      </w:r>
      <w:r w:rsidR="006546E4">
        <w:rPr>
          <w:rFonts w:ascii="Arial" w:hAnsi="Arial" w:cs="Arial"/>
          <w:sz w:val="24"/>
          <w:szCs w:val="24"/>
        </w:rPr>
        <w:t xml:space="preserve">can be useful to help </w:t>
      </w:r>
      <w:r w:rsidR="00AA05DA">
        <w:rPr>
          <w:rFonts w:ascii="Arial" w:hAnsi="Arial" w:cs="Arial"/>
          <w:sz w:val="24"/>
          <w:szCs w:val="24"/>
        </w:rPr>
        <w:t>measure characteristics that may explain a parent’s caregiving deficits</w:t>
      </w:r>
      <w:r w:rsidR="000C1ADB">
        <w:rPr>
          <w:rFonts w:ascii="Arial" w:hAnsi="Arial" w:cs="Arial"/>
          <w:sz w:val="24"/>
          <w:szCs w:val="24"/>
        </w:rPr>
        <w:t xml:space="preserve"> even though they cannot measure parenting capacity itself. </w:t>
      </w:r>
      <w:r w:rsidR="009B1971">
        <w:rPr>
          <w:rFonts w:ascii="Arial" w:hAnsi="Arial" w:cs="Arial"/>
          <w:sz w:val="24"/>
          <w:szCs w:val="24"/>
        </w:rPr>
        <w:t xml:space="preserve"> </w:t>
      </w:r>
      <w:r w:rsidR="00751C23">
        <w:rPr>
          <w:rFonts w:ascii="Arial" w:hAnsi="Arial" w:cs="Arial"/>
          <w:sz w:val="24"/>
          <w:szCs w:val="24"/>
        </w:rPr>
        <w:t xml:space="preserve">Budd et al. review </w:t>
      </w:r>
      <w:proofErr w:type="gramStart"/>
      <w:r w:rsidR="009B1971">
        <w:rPr>
          <w:rFonts w:ascii="Arial" w:hAnsi="Arial" w:cs="Arial"/>
          <w:sz w:val="24"/>
          <w:szCs w:val="24"/>
        </w:rPr>
        <w:t>a number of</w:t>
      </w:r>
      <w:proofErr w:type="gramEnd"/>
      <w:r w:rsidR="009B1971">
        <w:rPr>
          <w:rFonts w:ascii="Arial" w:hAnsi="Arial" w:cs="Arial"/>
          <w:sz w:val="24"/>
          <w:szCs w:val="24"/>
        </w:rPr>
        <w:t xml:space="preserve"> </w:t>
      </w:r>
      <w:r w:rsidR="004318FF">
        <w:rPr>
          <w:rFonts w:ascii="Arial" w:hAnsi="Arial" w:cs="Arial"/>
          <w:sz w:val="24"/>
          <w:szCs w:val="24"/>
        </w:rPr>
        <w:t xml:space="preserve">standardized </w:t>
      </w:r>
      <w:r w:rsidR="009B1971">
        <w:rPr>
          <w:rFonts w:ascii="Arial" w:hAnsi="Arial" w:cs="Arial"/>
          <w:sz w:val="24"/>
          <w:szCs w:val="24"/>
        </w:rPr>
        <w:t xml:space="preserve">tests </w:t>
      </w:r>
      <w:r w:rsidR="004318FF">
        <w:rPr>
          <w:rFonts w:ascii="Arial" w:hAnsi="Arial" w:cs="Arial"/>
          <w:sz w:val="24"/>
          <w:szCs w:val="24"/>
        </w:rPr>
        <w:t>that</w:t>
      </w:r>
      <w:r w:rsidR="00805AB0">
        <w:rPr>
          <w:rFonts w:ascii="Arial" w:hAnsi="Arial" w:cs="Arial"/>
          <w:sz w:val="24"/>
          <w:szCs w:val="24"/>
        </w:rPr>
        <w:t xml:space="preserve"> have clinical norms for different populations</w:t>
      </w:r>
      <w:r w:rsidR="00772145">
        <w:rPr>
          <w:rFonts w:ascii="Arial" w:hAnsi="Arial" w:cs="Arial"/>
          <w:sz w:val="24"/>
          <w:szCs w:val="24"/>
        </w:rPr>
        <w:t xml:space="preserve"> and </w:t>
      </w:r>
      <w:r w:rsidR="00FC7ED4">
        <w:rPr>
          <w:rFonts w:ascii="Arial" w:hAnsi="Arial" w:cs="Arial"/>
          <w:sz w:val="24"/>
          <w:szCs w:val="24"/>
        </w:rPr>
        <w:t xml:space="preserve">measure characteristics relevant to </w:t>
      </w:r>
      <w:r w:rsidR="000427B0">
        <w:rPr>
          <w:rFonts w:ascii="Arial" w:hAnsi="Arial" w:cs="Arial"/>
          <w:sz w:val="24"/>
          <w:szCs w:val="24"/>
        </w:rPr>
        <w:t>parenting capacity</w:t>
      </w:r>
      <w:r w:rsidR="00D75CAE">
        <w:rPr>
          <w:rFonts w:ascii="Arial" w:hAnsi="Arial" w:cs="Arial"/>
          <w:sz w:val="24"/>
          <w:szCs w:val="24"/>
        </w:rPr>
        <w:t xml:space="preserve">, including </w:t>
      </w:r>
      <w:r w:rsidR="00C932B5">
        <w:rPr>
          <w:rFonts w:ascii="Arial" w:hAnsi="Arial" w:cs="Arial"/>
          <w:sz w:val="24"/>
          <w:szCs w:val="24"/>
        </w:rPr>
        <w:t>measures of intelligence such as the Weschler Adult Intelligence Scale (“WAIS”)</w:t>
      </w:r>
      <w:r w:rsidR="001D0A57">
        <w:rPr>
          <w:rFonts w:ascii="Arial" w:hAnsi="Arial" w:cs="Arial"/>
          <w:sz w:val="24"/>
          <w:szCs w:val="24"/>
        </w:rPr>
        <w:t xml:space="preserve"> and measures of personality functioning and psychopathology such as the </w:t>
      </w:r>
      <w:r w:rsidR="008817FF">
        <w:rPr>
          <w:rFonts w:ascii="Arial" w:hAnsi="Arial" w:cs="Arial"/>
          <w:sz w:val="24"/>
          <w:szCs w:val="24"/>
        </w:rPr>
        <w:t xml:space="preserve">Minnesota Multiphasic Personality Inventory </w:t>
      </w:r>
      <w:r w:rsidR="00D636FC">
        <w:rPr>
          <w:rFonts w:ascii="Arial" w:hAnsi="Arial" w:cs="Arial"/>
          <w:sz w:val="24"/>
          <w:szCs w:val="24"/>
        </w:rPr>
        <w:t>(“MMPI – 2”)</w:t>
      </w:r>
      <w:r w:rsidR="00DE3FB6">
        <w:rPr>
          <w:rFonts w:ascii="Arial" w:hAnsi="Arial" w:cs="Arial"/>
          <w:sz w:val="24"/>
          <w:szCs w:val="24"/>
        </w:rPr>
        <w:t xml:space="preserve">, the Personality Assessment Inventory (“PAI”) or the </w:t>
      </w:r>
      <w:proofErr w:type="spellStart"/>
      <w:r w:rsidR="00DE3FB6">
        <w:rPr>
          <w:rFonts w:ascii="Arial" w:hAnsi="Arial" w:cs="Arial"/>
          <w:sz w:val="24"/>
          <w:szCs w:val="24"/>
        </w:rPr>
        <w:t>Millon</w:t>
      </w:r>
      <w:proofErr w:type="spellEnd"/>
      <w:r w:rsidR="00DE3FB6">
        <w:rPr>
          <w:rFonts w:ascii="Arial" w:hAnsi="Arial" w:cs="Arial"/>
          <w:sz w:val="24"/>
          <w:szCs w:val="24"/>
        </w:rPr>
        <w:t xml:space="preserve"> </w:t>
      </w:r>
      <w:r w:rsidR="003D3F20">
        <w:rPr>
          <w:rFonts w:ascii="Arial" w:hAnsi="Arial" w:cs="Arial"/>
          <w:sz w:val="24"/>
          <w:szCs w:val="24"/>
        </w:rPr>
        <w:t xml:space="preserve">Clinical </w:t>
      </w:r>
      <w:r w:rsidR="009F5521">
        <w:rPr>
          <w:rFonts w:ascii="Arial" w:hAnsi="Arial" w:cs="Arial"/>
          <w:sz w:val="24"/>
          <w:szCs w:val="24"/>
        </w:rPr>
        <w:t xml:space="preserve">Multiaxial </w:t>
      </w:r>
      <w:r w:rsidR="003D3F20">
        <w:rPr>
          <w:rFonts w:ascii="Arial" w:hAnsi="Arial" w:cs="Arial"/>
          <w:sz w:val="24"/>
          <w:szCs w:val="24"/>
        </w:rPr>
        <w:t>Inventory</w:t>
      </w:r>
      <w:r w:rsidR="009F5521">
        <w:rPr>
          <w:rFonts w:ascii="Arial" w:hAnsi="Arial" w:cs="Arial"/>
          <w:sz w:val="24"/>
          <w:szCs w:val="24"/>
        </w:rPr>
        <w:t xml:space="preserve"> - 3</w:t>
      </w:r>
      <w:r w:rsidR="003D3F20">
        <w:rPr>
          <w:rFonts w:ascii="Arial" w:hAnsi="Arial" w:cs="Arial"/>
          <w:sz w:val="24"/>
          <w:szCs w:val="24"/>
        </w:rPr>
        <w:t xml:space="preserve"> (“MC</w:t>
      </w:r>
      <w:r w:rsidR="009F5521">
        <w:rPr>
          <w:rFonts w:ascii="Arial" w:hAnsi="Arial" w:cs="Arial"/>
          <w:sz w:val="24"/>
          <w:szCs w:val="24"/>
        </w:rPr>
        <w:t>M</w:t>
      </w:r>
      <w:r w:rsidR="003D3F20">
        <w:rPr>
          <w:rFonts w:ascii="Arial" w:hAnsi="Arial" w:cs="Arial"/>
          <w:sz w:val="24"/>
          <w:szCs w:val="24"/>
        </w:rPr>
        <w:t>I</w:t>
      </w:r>
      <w:r w:rsidR="009F5521">
        <w:rPr>
          <w:rFonts w:ascii="Arial" w:hAnsi="Arial" w:cs="Arial"/>
          <w:sz w:val="24"/>
          <w:szCs w:val="24"/>
        </w:rPr>
        <w:t xml:space="preserve"> - 3</w:t>
      </w:r>
      <w:r w:rsidR="003D3F20">
        <w:rPr>
          <w:rFonts w:ascii="Arial" w:hAnsi="Arial" w:cs="Arial"/>
          <w:sz w:val="24"/>
          <w:szCs w:val="24"/>
        </w:rPr>
        <w:t>”)</w:t>
      </w:r>
      <w:r w:rsidR="00D636FC">
        <w:rPr>
          <w:rFonts w:ascii="Arial" w:hAnsi="Arial" w:cs="Arial"/>
          <w:sz w:val="24"/>
          <w:szCs w:val="24"/>
        </w:rPr>
        <w:t>.</w:t>
      </w:r>
      <w:r w:rsidR="00204CE3">
        <w:rPr>
          <w:rFonts w:ascii="Arial" w:hAnsi="Arial" w:cs="Arial"/>
          <w:sz w:val="24"/>
          <w:szCs w:val="24"/>
        </w:rPr>
        <w:t xml:space="preserve">  The authors are careful to stress that </w:t>
      </w:r>
      <w:r w:rsidR="00957A8C">
        <w:rPr>
          <w:rFonts w:ascii="Arial" w:hAnsi="Arial" w:cs="Arial"/>
          <w:sz w:val="24"/>
          <w:szCs w:val="24"/>
        </w:rPr>
        <w:t>a cognitive disability</w:t>
      </w:r>
      <w:r w:rsidR="004B71FC">
        <w:rPr>
          <w:rFonts w:ascii="Arial" w:hAnsi="Arial" w:cs="Arial"/>
          <w:sz w:val="24"/>
          <w:szCs w:val="24"/>
        </w:rPr>
        <w:t xml:space="preserve"> or a mental health disorder </w:t>
      </w:r>
      <w:r w:rsidR="0044092F">
        <w:rPr>
          <w:rFonts w:ascii="Arial" w:hAnsi="Arial" w:cs="Arial"/>
          <w:sz w:val="24"/>
          <w:szCs w:val="24"/>
        </w:rPr>
        <w:t xml:space="preserve">can help to explain the conditions </w:t>
      </w:r>
      <w:r w:rsidR="004A13FE">
        <w:rPr>
          <w:rFonts w:ascii="Arial" w:hAnsi="Arial" w:cs="Arial"/>
          <w:sz w:val="24"/>
          <w:szCs w:val="24"/>
        </w:rPr>
        <w:t xml:space="preserve">responsible for parenting strengths or </w:t>
      </w:r>
      <w:r w:rsidR="00756617">
        <w:rPr>
          <w:rFonts w:ascii="Arial" w:hAnsi="Arial" w:cs="Arial"/>
          <w:sz w:val="24"/>
          <w:szCs w:val="24"/>
        </w:rPr>
        <w:t xml:space="preserve">deficits but are not substitutes </w:t>
      </w:r>
      <w:r w:rsidR="003F7973">
        <w:rPr>
          <w:rFonts w:ascii="Arial" w:hAnsi="Arial" w:cs="Arial"/>
          <w:sz w:val="24"/>
          <w:szCs w:val="24"/>
        </w:rPr>
        <w:t xml:space="preserve">for more direct evidence of </w:t>
      </w:r>
      <w:r w:rsidR="00381185">
        <w:rPr>
          <w:rFonts w:ascii="Arial" w:hAnsi="Arial" w:cs="Arial"/>
          <w:sz w:val="24"/>
          <w:szCs w:val="24"/>
        </w:rPr>
        <w:t>parenting behaviours.</w:t>
      </w:r>
      <w:r w:rsidR="00381185">
        <w:rPr>
          <w:rStyle w:val="FootnoteReference"/>
          <w:rFonts w:ascii="Arial" w:hAnsi="Arial" w:cs="Arial"/>
          <w:sz w:val="24"/>
          <w:szCs w:val="24"/>
        </w:rPr>
        <w:footnoteReference w:id="34"/>
      </w:r>
    </w:p>
    <w:p w14:paraId="646BABC2" w14:textId="75AC76DA" w:rsidR="00447E56" w:rsidRDefault="00EA0628" w:rsidP="00092ACD">
      <w:pPr>
        <w:ind w:left="360"/>
        <w:rPr>
          <w:rFonts w:ascii="Arial" w:hAnsi="Arial" w:cs="Arial"/>
          <w:sz w:val="24"/>
          <w:szCs w:val="24"/>
        </w:rPr>
      </w:pPr>
      <w:r>
        <w:rPr>
          <w:rFonts w:ascii="Arial" w:hAnsi="Arial" w:cs="Arial"/>
          <w:sz w:val="24"/>
          <w:szCs w:val="24"/>
        </w:rPr>
        <w:t xml:space="preserve">Of the tests that assess parenting knowledge, </w:t>
      </w:r>
      <w:proofErr w:type="gramStart"/>
      <w:r>
        <w:rPr>
          <w:rFonts w:ascii="Arial" w:hAnsi="Arial" w:cs="Arial"/>
          <w:sz w:val="24"/>
          <w:szCs w:val="24"/>
        </w:rPr>
        <w:t>beliefs</w:t>
      </w:r>
      <w:proofErr w:type="gramEnd"/>
      <w:r>
        <w:rPr>
          <w:rFonts w:ascii="Arial" w:hAnsi="Arial" w:cs="Arial"/>
          <w:sz w:val="24"/>
          <w:szCs w:val="24"/>
        </w:rPr>
        <w:t xml:space="preserve"> and perceptions, </w:t>
      </w:r>
      <w:r w:rsidR="00E47C91">
        <w:rPr>
          <w:rFonts w:ascii="Arial" w:hAnsi="Arial" w:cs="Arial"/>
          <w:sz w:val="24"/>
          <w:szCs w:val="24"/>
        </w:rPr>
        <w:t xml:space="preserve">only </w:t>
      </w:r>
      <w:r w:rsidR="00E97718">
        <w:rPr>
          <w:rFonts w:ascii="Arial" w:hAnsi="Arial" w:cs="Arial"/>
          <w:sz w:val="24"/>
          <w:szCs w:val="24"/>
        </w:rPr>
        <w:t xml:space="preserve">two </w:t>
      </w:r>
      <w:r w:rsidR="001535B6">
        <w:rPr>
          <w:rFonts w:ascii="Arial" w:hAnsi="Arial" w:cs="Arial"/>
          <w:sz w:val="24"/>
          <w:szCs w:val="24"/>
        </w:rPr>
        <w:t xml:space="preserve">have been found to have sufficient standardization, </w:t>
      </w:r>
      <w:r w:rsidR="006C3EEA">
        <w:rPr>
          <w:rFonts w:ascii="Arial" w:hAnsi="Arial" w:cs="Arial"/>
          <w:sz w:val="24"/>
          <w:szCs w:val="24"/>
        </w:rPr>
        <w:t xml:space="preserve">validity and peer-reviewed research to support </w:t>
      </w:r>
      <w:r w:rsidR="005B3829">
        <w:rPr>
          <w:rFonts w:ascii="Arial" w:hAnsi="Arial" w:cs="Arial"/>
          <w:sz w:val="24"/>
          <w:szCs w:val="24"/>
        </w:rPr>
        <w:t xml:space="preserve">their use in a forensic </w:t>
      </w:r>
      <w:r w:rsidR="00F61CC5">
        <w:rPr>
          <w:rFonts w:ascii="Arial" w:hAnsi="Arial" w:cs="Arial"/>
          <w:sz w:val="24"/>
          <w:szCs w:val="24"/>
        </w:rPr>
        <w:t>context</w:t>
      </w:r>
      <w:r w:rsidR="007F2351">
        <w:rPr>
          <w:rFonts w:ascii="Arial" w:hAnsi="Arial" w:cs="Arial"/>
          <w:sz w:val="24"/>
          <w:szCs w:val="24"/>
        </w:rPr>
        <w:t>:  the Child Abuse Potential Inventory (“CAPI”)</w:t>
      </w:r>
      <w:r w:rsidR="005130E3">
        <w:rPr>
          <w:rFonts w:ascii="Arial" w:hAnsi="Arial" w:cs="Arial"/>
          <w:sz w:val="24"/>
          <w:szCs w:val="24"/>
        </w:rPr>
        <w:t xml:space="preserve">, which was </w:t>
      </w:r>
      <w:r w:rsidR="0085233B">
        <w:rPr>
          <w:rFonts w:ascii="Arial" w:hAnsi="Arial" w:cs="Arial"/>
          <w:sz w:val="24"/>
          <w:szCs w:val="24"/>
        </w:rPr>
        <w:t xml:space="preserve">constructed and validated with a group of </w:t>
      </w:r>
      <w:r w:rsidR="00846BC1">
        <w:rPr>
          <w:rFonts w:ascii="Arial" w:hAnsi="Arial" w:cs="Arial"/>
          <w:sz w:val="24"/>
          <w:szCs w:val="24"/>
        </w:rPr>
        <w:t>parents who were known to be physically abusive,</w:t>
      </w:r>
      <w:r w:rsidR="007F2351">
        <w:rPr>
          <w:rFonts w:ascii="Arial" w:hAnsi="Arial" w:cs="Arial"/>
          <w:sz w:val="24"/>
          <w:szCs w:val="24"/>
        </w:rPr>
        <w:t xml:space="preserve"> and </w:t>
      </w:r>
      <w:r w:rsidR="000C6A33">
        <w:rPr>
          <w:rFonts w:ascii="Arial" w:hAnsi="Arial" w:cs="Arial"/>
          <w:sz w:val="24"/>
          <w:szCs w:val="24"/>
        </w:rPr>
        <w:t>the Parenting Stress Index (“PSI”).</w:t>
      </w:r>
      <w:r w:rsidR="00670EE0">
        <w:rPr>
          <w:rStyle w:val="FootnoteReference"/>
          <w:rFonts w:ascii="Arial" w:hAnsi="Arial" w:cs="Arial"/>
          <w:sz w:val="24"/>
          <w:szCs w:val="24"/>
        </w:rPr>
        <w:footnoteReference w:id="35"/>
      </w:r>
      <w:r w:rsidR="00092ACD">
        <w:rPr>
          <w:rFonts w:ascii="Arial" w:hAnsi="Arial" w:cs="Arial"/>
          <w:sz w:val="24"/>
          <w:szCs w:val="24"/>
        </w:rPr>
        <w:t xml:space="preserve"> </w:t>
      </w:r>
    </w:p>
    <w:p w14:paraId="0F00CEDA" w14:textId="34674BAF" w:rsidR="00092ACD" w:rsidRDefault="00092ACD" w:rsidP="00092ACD">
      <w:pPr>
        <w:rPr>
          <w:rFonts w:ascii="Arial" w:hAnsi="Arial" w:cs="Arial"/>
          <w:sz w:val="24"/>
          <w:szCs w:val="24"/>
        </w:rPr>
      </w:pPr>
      <w:r>
        <w:rPr>
          <w:rFonts w:ascii="Arial" w:hAnsi="Arial" w:cs="Arial"/>
          <w:sz w:val="24"/>
          <w:szCs w:val="24"/>
        </w:rPr>
        <w:t xml:space="preserve">f. </w:t>
      </w:r>
      <w:r w:rsidR="00DC070D">
        <w:rPr>
          <w:rFonts w:ascii="Arial" w:hAnsi="Arial" w:cs="Arial"/>
          <w:sz w:val="24"/>
          <w:szCs w:val="24"/>
        </w:rPr>
        <w:t xml:space="preserve">   </w:t>
      </w:r>
      <w:r w:rsidR="00DC070D" w:rsidRPr="00DC070D">
        <w:rPr>
          <w:rFonts w:ascii="Arial" w:hAnsi="Arial" w:cs="Arial"/>
          <w:sz w:val="24"/>
          <w:szCs w:val="24"/>
          <w:u w:val="single"/>
        </w:rPr>
        <w:t xml:space="preserve">Interpretation </w:t>
      </w:r>
      <w:r w:rsidR="003E4711">
        <w:rPr>
          <w:rFonts w:ascii="Arial" w:hAnsi="Arial" w:cs="Arial"/>
          <w:sz w:val="24"/>
          <w:szCs w:val="24"/>
          <w:u w:val="single"/>
        </w:rPr>
        <w:t xml:space="preserve">and Presentation </w:t>
      </w:r>
      <w:r w:rsidR="00DC070D" w:rsidRPr="00DC070D">
        <w:rPr>
          <w:rFonts w:ascii="Arial" w:hAnsi="Arial" w:cs="Arial"/>
          <w:sz w:val="24"/>
          <w:szCs w:val="24"/>
          <w:u w:val="single"/>
        </w:rPr>
        <w:t xml:space="preserve">of </w:t>
      </w:r>
      <w:r w:rsidR="00F6593B">
        <w:rPr>
          <w:rFonts w:ascii="Arial" w:hAnsi="Arial" w:cs="Arial"/>
          <w:sz w:val="24"/>
          <w:szCs w:val="24"/>
          <w:u w:val="single"/>
        </w:rPr>
        <w:t xml:space="preserve">Assessment </w:t>
      </w:r>
      <w:r w:rsidR="00DC070D" w:rsidRPr="00DC070D">
        <w:rPr>
          <w:rFonts w:ascii="Arial" w:hAnsi="Arial" w:cs="Arial"/>
          <w:sz w:val="24"/>
          <w:szCs w:val="24"/>
          <w:u w:val="single"/>
        </w:rPr>
        <w:t>Data</w:t>
      </w:r>
      <w:r w:rsidR="00DC070D">
        <w:rPr>
          <w:rFonts w:ascii="Arial" w:hAnsi="Arial" w:cs="Arial"/>
          <w:sz w:val="24"/>
          <w:szCs w:val="24"/>
        </w:rPr>
        <w:tab/>
      </w:r>
    </w:p>
    <w:p w14:paraId="6F156610" w14:textId="2E7D6912" w:rsidR="00BA0ECB" w:rsidRDefault="00586733" w:rsidP="00BA0ECB">
      <w:pPr>
        <w:ind w:left="426"/>
        <w:rPr>
          <w:rFonts w:ascii="Arial" w:hAnsi="Arial" w:cs="Arial"/>
          <w:sz w:val="24"/>
          <w:szCs w:val="24"/>
        </w:rPr>
      </w:pPr>
      <w:r>
        <w:rPr>
          <w:rFonts w:ascii="Arial" w:hAnsi="Arial" w:cs="Arial"/>
          <w:sz w:val="24"/>
          <w:szCs w:val="24"/>
        </w:rPr>
        <w:t xml:space="preserve">Budd et al </w:t>
      </w:r>
      <w:r w:rsidR="007B62B3">
        <w:rPr>
          <w:rFonts w:ascii="Arial" w:hAnsi="Arial" w:cs="Arial"/>
          <w:sz w:val="24"/>
          <w:szCs w:val="24"/>
        </w:rPr>
        <w:t xml:space="preserve">suggest that </w:t>
      </w:r>
      <w:r w:rsidR="003A7DDD">
        <w:rPr>
          <w:rFonts w:ascii="Arial" w:hAnsi="Arial" w:cs="Arial"/>
          <w:sz w:val="24"/>
          <w:szCs w:val="24"/>
        </w:rPr>
        <w:t>assessors should ste</w:t>
      </w:r>
      <w:r w:rsidR="009F550D">
        <w:rPr>
          <w:rFonts w:ascii="Arial" w:hAnsi="Arial" w:cs="Arial"/>
          <w:sz w:val="24"/>
          <w:szCs w:val="24"/>
        </w:rPr>
        <w:t>e</w:t>
      </w:r>
      <w:r w:rsidR="003A7DDD">
        <w:rPr>
          <w:rFonts w:ascii="Arial" w:hAnsi="Arial" w:cs="Arial"/>
          <w:sz w:val="24"/>
          <w:szCs w:val="24"/>
        </w:rPr>
        <w:t xml:space="preserve">r clear of </w:t>
      </w:r>
      <w:r w:rsidR="006B3B33">
        <w:rPr>
          <w:rFonts w:ascii="Arial" w:hAnsi="Arial" w:cs="Arial"/>
          <w:sz w:val="24"/>
          <w:szCs w:val="24"/>
        </w:rPr>
        <w:t xml:space="preserve">making recommendations about the </w:t>
      </w:r>
      <w:r w:rsidR="006B3B33" w:rsidRPr="00346B22">
        <w:rPr>
          <w:rFonts w:ascii="Arial" w:hAnsi="Arial" w:cs="Arial"/>
          <w:sz w:val="24"/>
          <w:szCs w:val="24"/>
        </w:rPr>
        <w:t>ultimate legal issues before the court</w:t>
      </w:r>
      <w:r w:rsidR="006B3B33">
        <w:rPr>
          <w:rFonts w:ascii="Arial" w:hAnsi="Arial" w:cs="Arial"/>
          <w:sz w:val="24"/>
          <w:szCs w:val="24"/>
        </w:rPr>
        <w:t xml:space="preserve"> but should instead</w:t>
      </w:r>
      <w:r w:rsidR="0037611E">
        <w:rPr>
          <w:rFonts w:ascii="Arial" w:hAnsi="Arial" w:cs="Arial"/>
          <w:sz w:val="24"/>
          <w:szCs w:val="24"/>
        </w:rPr>
        <w:t xml:space="preserve"> express their conclusions in terms of </w:t>
      </w:r>
      <w:r w:rsidR="00041B3F">
        <w:rPr>
          <w:rFonts w:ascii="Arial" w:hAnsi="Arial" w:cs="Arial"/>
          <w:sz w:val="24"/>
          <w:szCs w:val="24"/>
        </w:rPr>
        <w:t>strengths or protective factors and risk factors that are relevant to the legal determinations that the court must make.</w:t>
      </w:r>
      <w:r w:rsidR="0010650C">
        <w:rPr>
          <w:rStyle w:val="FootnoteReference"/>
          <w:rFonts w:ascii="Arial" w:hAnsi="Arial" w:cs="Arial"/>
          <w:sz w:val="24"/>
          <w:szCs w:val="24"/>
        </w:rPr>
        <w:footnoteReference w:id="36"/>
      </w:r>
      <w:r w:rsidR="001F0B13">
        <w:rPr>
          <w:rFonts w:ascii="Arial" w:hAnsi="Arial" w:cs="Arial"/>
          <w:sz w:val="24"/>
          <w:szCs w:val="24"/>
        </w:rPr>
        <w:t xml:space="preserve">  They also suggest </w:t>
      </w:r>
      <w:r w:rsidR="000E1E1E">
        <w:rPr>
          <w:rFonts w:ascii="Arial" w:hAnsi="Arial" w:cs="Arial"/>
          <w:sz w:val="24"/>
          <w:szCs w:val="24"/>
        </w:rPr>
        <w:t xml:space="preserve">that the assessor </w:t>
      </w:r>
      <w:r w:rsidR="00E155EB">
        <w:rPr>
          <w:rFonts w:ascii="Arial" w:hAnsi="Arial" w:cs="Arial"/>
          <w:sz w:val="24"/>
          <w:szCs w:val="24"/>
        </w:rPr>
        <w:t xml:space="preserve">can be most helpful to the court by </w:t>
      </w:r>
      <w:r w:rsidR="000E1E1E">
        <w:rPr>
          <w:rFonts w:ascii="Arial" w:hAnsi="Arial" w:cs="Arial"/>
          <w:sz w:val="24"/>
          <w:szCs w:val="24"/>
        </w:rPr>
        <w:t>describ</w:t>
      </w:r>
      <w:r w:rsidR="00E155EB">
        <w:rPr>
          <w:rFonts w:ascii="Arial" w:hAnsi="Arial" w:cs="Arial"/>
          <w:sz w:val="24"/>
          <w:szCs w:val="24"/>
        </w:rPr>
        <w:t>ing</w:t>
      </w:r>
      <w:r w:rsidR="000E1E1E">
        <w:rPr>
          <w:rFonts w:ascii="Arial" w:hAnsi="Arial" w:cs="Arial"/>
          <w:sz w:val="24"/>
          <w:szCs w:val="24"/>
        </w:rPr>
        <w:t xml:space="preserve"> </w:t>
      </w:r>
      <w:r w:rsidR="00787F5A">
        <w:rPr>
          <w:rFonts w:ascii="Arial" w:hAnsi="Arial" w:cs="Arial"/>
          <w:sz w:val="24"/>
          <w:szCs w:val="24"/>
        </w:rPr>
        <w:t xml:space="preserve">clinical findings in behavioural terms </w:t>
      </w:r>
      <w:r w:rsidR="00E155EB">
        <w:rPr>
          <w:rFonts w:ascii="Arial" w:hAnsi="Arial" w:cs="Arial"/>
          <w:sz w:val="24"/>
          <w:szCs w:val="24"/>
        </w:rPr>
        <w:t xml:space="preserve">with </w:t>
      </w:r>
      <w:r w:rsidR="003768A5">
        <w:rPr>
          <w:rFonts w:ascii="Arial" w:hAnsi="Arial" w:cs="Arial"/>
          <w:sz w:val="24"/>
          <w:szCs w:val="24"/>
        </w:rPr>
        <w:t xml:space="preserve">specific </w:t>
      </w:r>
      <w:r w:rsidR="00E155EB">
        <w:rPr>
          <w:rFonts w:ascii="Arial" w:hAnsi="Arial" w:cs="Arial"/>
          <w:sz w:val="24"/>
          <w:szCs w:val="24"/>
        </w:rPr>
        <w:t>reference</w:t>
      </w:r>
      <w:r w:rsidR="00232B27">
        <w:rPr>
          <w:rFonts w:ascii="Arial" w:hAnsi="Arial" w:cs="Arial"/>
          <w:sz w:val="24"/>
          <w:szCs w:val="24"/>
        </w:rPr>
        <w:t>s</w:t>
      </w:r>
      <w:r w:rsidR="00E155EB">
        <w:rPr>
          <w:rFonts w:ascii="Arial" w:hAnsi="Arial" w:cs="Arial"/>
          <w:sz w:val="24"/>
          <w:szCs w:val="24"/>
        </w:rPr>
        <w:t xml:space="preserve"> to the data collected</w:t>
      </w:r>
      <w:r w:rsidR="00787F5A">
        <w:rPr>
          <w:rFonts w:ascii="Arial" w:hAnsi="Arial" w:cs="Arial"/>
          <w:sz w:val="24"/>
          <w:szCs w:val="24"/>
        </w:rPr>
        <w:t>.</w:t>
      </w:r>
      <w:r w:rsidR="00E155EB">
        <w:rPr>
          <w:rStyle w:val="FootnoteReference"/>
          <w:rFonts w:ascii="Arial" w:hAnsi="Arial" w:cs="Arial"/>
          <w:sz w:val="24"/>
          <w:szCs w:val="24"/>
        </w:rPr>
        <w:footnoteReference w:id="37"/>
      </w:r>
    </w:p>
    <w:p w14:paraId="76025D22" w14:textId="77777777" w:rsidR="0060225B" w:rsidRDefault="0060225B" w:rsidP="00476500">
      <w:pPr>
        <w:rPr>
          <w:rFonts w:ascii="Arial" w:hAnsi="Arial" w:cs="Arial"/>
          <w:sz w:val="24"/>
          <w:szCs w:val="24"/>
        </w:rPr>
      </w:pPr>
    </w:p>
    <w:p w14:paraId="792D020D" w14:textId="020E348B" w:rsidR="00626BD5" w:rsidRPr="007E195B" w:rsidRDefault="007E195B" w:rsidP="00476500">
      <w:pPr>
        <w:rPr>
          <w:rFonts w:ascii="Arial" w:hAnsi="Arial" w:cs="Arial"/>
          <w:b/>
          <w:bCs/>
          <w:sz w:val="24"/>
          <w:szCs w:val="24"/>
        </w:rPr>
      </w:pPr>
      <w:r w:rsidRPr="007E195B">
        <w:rPr>
          <w:rFonts w:ascii="Arial" w:hAnsi="Arial" w:cs="Arial"/>
          <w:b/>
          <w:bCs/>
          <w:sz w:val="24"/>
          <w:szCs w:val="24"/>
        </w:rPr>
        <w:t>Legislative Framework for Parenting Capacity Assessments in Ontario</w:t>
      </w:r>
    </w:p>
    <w:p w14:paraId="0274E34A" w14:textId="64B7C129" w:rsidR="00B81573" w:rsidRDefault="00DC1706" w:rsidP="00476500">
      <w:pPr>
        <w:rPr>
          <w:rFonts w:ascii="Arial" w:hAnsi="Arial" w:cs="Arial"/>
          <w:sz w:val="24"/>
          <w:szCs w:val="24"/>
        </w:rPr>
      </w:pPr>
      <w:r>
        <w:rPr>
          <w:rFonts w:ascii="Arial" w:hAnsi="Arial" w:cs="Arial"/>
          <w:sz w:val="24"/>
          <w:szCs w:val="24"/>
        </w:rPr>
        <w:t>In Ontario</w:t>
      </w:r>
      <w:r w:rsidR="004E6D89">
        <w:rPr>
          <w:rFonts w:ascii="Arial" w:hAnsi="Arial" w:cs="Arial"/>
          <w:sz w:val="24"/>
          <w:szCs w:val="24"/>
        </w:rPr>
        <w:t xml:space="preserve">, </w:t>
      </w:r>
      <w:r w:rsidR="00F30B63">
        <w:rPr>
          <w:rFonts w:ascii="Arial" w:hAnsi="Arial" w:cs="Arial"/>
          <w:sz w:val="24"/>
          <w:szCs w:val="24"/>
        </w:rPr>
        <w:t>s</w:t>
      </w:r>
      <w:r w:rsidR="00523D8E">
        <w:rPr>
          <w:rFonts w:ascii="Arial" w:hAnsi="Arial" w:cs="Arial"/>
          <w:sz w:val="24"/>
          <w:szCs w:val="24"/>
        </w:rPr>
        <w:t xml:space="preserve">ection 98 of the </w:t>
      </w:r>
      <w:r w:rsidR="00523D8E" w:rsidRPr="002A298F">
        <w:rPr>
          <w:rFonts w:ascii="Arial" w:hAnsi="Arial" w:cs="Arial"/>
          <w:i/>
          <w:iCs/>
          <w:sz w:val="24"/>
          <w:szCs w:val="24"/>
        </w:rPr>
        <w:t>Child, Youth and Family Services Act</w:t>
      </w:r>
      <w:r w:rsidR="00523D8E">
        <w:rPr>
          <w:rFonts w:ascii="Arial" w:hAnsi="Arial" w:cs="Arial"/>
          <w:sz w:val="24"/>
          <w:szCs w:val="24"/>
        </w:rPr>
        <w:t xml:space="preserve">, 2017 </w:t>
      </w:r>
      <w:r w:rsidR="002A298F">
        <w:rPr>
          <w:rFonts w:ascii="Arial" w:hAnsi="Arial" w:cs="Arial"/>
          <w:sz w:val="24"/>
          <w:szCs w:val="24"/>
        </w:rPr>
        <w:t>specifies in section 1 that the court may order</w:t>
      </w:r>
      <w:r w:rsidR="0030484E">
        <w:rPr>
          <w:rFonts w:ascii="Arial" w:hAnsi="Arial" w:cs="Arial"/>
          <w:sz w:val="24"/>
          <w:szCs w:val="24"/>
        </w:rPr>
        <w:t xml:space="preserve"> a child, a parent of the child or any other person, </w:t>
      </w:r>
      <w:r w:rsidR="0030484E">
        <w:rPr>
          <w:rFonts w:ascii="Arial" w:hAnsi="Arial" w:cs="Arial"/>
          <w:sz w:val="24"/>
          <w:szCs w:val="24"/>
        </w:rPr>
        <w:lastRenderedPageBreak/>
        <w:t>other than</w:t>
      </w:r>
      <w:r w:rsidR="00632123">
        <w:rPr>
          <w:rFonts w:ascii="Arial" w:hAnsi="Arial" w:cs="Arial"/>
          <w:sz w:val="24"/>
          <w:szCs w:val="24"/>
        </w:rPr>
        <w:t xml:space="preserve"> a foster parent, who is putting forward or would participate in a plan for the care and custody</w:t>
      </w:r>
      <w:r w:rsidR="00A80D8D">
        <w:rPr>
          <w:rFonts w:ascii="Arial" w:hAnsi="Arial" w:cs="Arial"/>
          <w:sz w:val="24"/>
          <w:szCs w:val="24"/>
        </w:rPr>
        <w:t xml:space="preserve"> of or access to the child to undergo an </w:t>
      </w:r>
      <w:r w:rsidR="003C34E5">
        <w:rPr>
          <w:rFonts w:ascii="Arial" w:hAnsi="Arial" w:cs="Arial"/>
          <w:sz w:val="24"/>
          <w:szCs w:val="24"/>
        </w:rPr>
        <w:t xml:space="preserve">assessment.  Subsection 98(2) </w:t>
      </w:r>
      <w:r w:rsidR="00F30B63">
        <w:rPr>
          <w:rFonts w:ascii="Arial" w:hAnsi="Arial" w:cs="Arial"/>
          <w:sz w:val="24"/>
          <w:szCs w:val="24"/>
        </w:rPr>
        <w:t xml:space="preserve">sets out the </w:t>
      </w:r>
      <w:r w:rsidR="0008165F">
        <w:rPr>
          <w:rFonts w:ascii="Arial" w:hAnsi="Arial" w:cs="Arial"/>
          <w:sz w:val="24"/>
          <w:szCs w:val="24"/>
        </w:rPr>
        <w:t>following criteria for ordering an assessment</w:t>
      </w:r>
      <w:r w:rsidR="00B81573">
        <w:rPr>
          <w:rFonts w:ascii="Arial" w:hAnsi="Arial" w:cs="Arial"/>
          <w:sz w:val="24"/>
          <w:szCs w:val="24"/>
        </w:rPr>
        <w:t>:</w:t>
      </w:r>
    </w:p>
    <w:p w14:paraId="27367E5F" w14:textId="77777777" w:rsidR="001D3D24" w:rsidRDefault="00B81573" w:rsidP="004B6B2D">
      <w:pPr>
        <w:ind w:left="720"/>
        <w:rPr>
          <w:rFonts w:ascii="Arial" w:hAnsi="Arial" w:cs="Arial"/>
          <w:sz w:val="24"/>
          <w:szCs w:val="24"/>
        </w:rPr>
      </w:pPr>
      <w:r>
        <w:rPr>
          <w:rFonts w:ascii="Arial" w:hAnsi="Arial" w:cs="Arial"/>
          <w:sz w:val="24"/>
          <w:szCs w:val="24"/>
        </w:rPr>
        <w:t>98(2</w:t>
      </w:r>
      <w:proofErr w:type="gramStart"/>
      <w:r>
        <w:rPr>
          <w:rFonts w:ascii="Arial" w:hAnsi="Arial" w:cs="Arial"/>
          <w:sz w:val="24"/>
          <w:szCs w:val="24"/>
        </w:rPr>
        <w:t>)  Criteria</w:t>
      </w:r>
      <w:proofErr w:type="gramEnd"/>
      <w:r>
        <w:rPr>
          <w:rFonts w:ascii="Arial" w:hAnsi="Arial" w:cs="Arial"/>
          <w:sz w:val="24"/>
          <w:szCs w:val="24"/>
        </w:rPr>
        <w:t xml:space="preserve"> for ordering assessment</w:t>
      </w:r>
      <w:r w:rsidR="001D3D24">
        <w:rPr>
          <w:rFonts w:ascii="Arial" w:hAnsi="Arial" w:cs="Arial"/>
          <w:sz w:val="24"/>
          <w:szCs w:val="24"/>
        </w:rPr>
        <w:t xml:space="preserve"> – An assessment may be ordered if the court is satisfied that,</w:t>
      </w:r>
    </w:p>
    <w:p w14:paraId="63E6EA58" w14:textId="77777777" w:rsidR="003C0816" w:rsidRDefault="001D3D24" w:rsidP="004B6B2D">
      <w:pPr>
        <w:ind w:left="720"/>
        <w:rPr>
          <w:rFonts w:ascii="Arial" w:hAnsi="Arial" w:cs="Arial"/>
          <w:sz w:val="24"/>
          <w:szCs w:val="24"/>
        </w:rPr>
      </w:pPr>
      <w:r>
        <w:rPr>
          <w:rFonts w:ascii="Arial" w:hAnsi="Arial" w:cs="Arial"/>
          <w:sz w:val="24"/>
          <w:szCs w:val="24"/>
        </w:rPr>
        <w:t>(a) an assessment of one or more of</w:t>
      </w:r>
      <w:r w:rsidR="00CB1CCB">
        <w:rPr>
          <w:rFonts w:ascii="Arial" w:hAnsi="Arial" w:cs="Arial"/>
          <w:sz w:val="24"/>
          <w:szCs w:val="24"/>
        </w:rPr>
        <w:t xml:space="preserve"> the persons specified in subsection (1) is necessary for the court to </w:t>
      </w:r>
      <w:proofErr w:type="gramStart"/>
      <w:r w:rsidR="00CB1CCB">
        <w:rPr>
          <w:rFonts w:ascii="Arial" w:hAnsi="Arial" w:cs="Arial"/>
          <w:sz w:val="24"/>
          <w:szCs w:val="24"/>
        </w:rPr>
        <w:t>make a determination</w:t>
      </w:r>
      <w:proofErr w:type="gramEnd"/>
      <w:r w:rsidR="00CB1CCB">
        <w:rPr>
          <w:rFonts w:ascii="Arial" w:hAnsi="Arial" w:cs="Arial"/>
          <w:sz w:val="24"/>
          <w:szCs w:val="24"/>
        </w:rPr>
        <w:t xml:space="preserve"> under this Part; and</w:t>
      </w:r>
    </w:p>
    <w:p w14:paraId="6FCB198A" w14:textId="77777777" w:rsidR="003C0816" w:rsidRDefault="003C0816" w:rsidP="004B6B2D">
      <w:pPr>
        <w:ind w:left="720"/>
        <w:rPr>
          <w:rFonts w:ascii="Arial" w:hAnsi="Arial" w:cs="Arial"/>
          <w:sz w:val="24"/>
          <w:szCs w:val="24"/>
        </w:rPr>
      </w:pPr>
      <w:r>
        <w:rPr>
          <w:rFonts w:ascii="Arial" w:hAnsi="Arial" w:cs="Arial"/>
          <w:sz w:val="24"/>
          <w:szCs w:val="24"/>
        </w:rPr>
        <w:t xml:space="preserve">(b)  the evidence sought from an assessment is not otherwise available to the court.  </w:t>
      </w:r>
    </w:p>
    <w:p w14:paraId="6CC734B5" w14:textId="20780E1B" w:rsidR="00DC1706" w:rsidRDefault="003C0816" w:rsidP="00476500">
      <w:pPr>
        <w:rPr>
          <w:rFonts w:ascii="Arial" w:hAnsi="Arial" w:cs="Arial"/>
          <w:sz w:val="24"/>
          <w:szCs w:val="24"/>
        </w:rPr>
      </w:pPr>
      <w:r>
        <w:rPr>
          <w:rFonts w:ascii="Arial" w:hAnsi="Arial" w:cs="Arial"/>
          <w:sz w:val="24"/>
          <w:szCs w:val="24"/>
        </w:rPr>
        <w:t xml:space="preserve">The </w:t>
      </w:r>
      <w:r w:rsidR="0039291C">
        <w:rPr>
          <w:rFonts w:ascii="Arial" w:hAnsi="Arial" w:cs="Arial"/>
          <w:sz w:val="24"/>
          <w:szCs w:val="24"/>
        </w:rPr>
        <w:t xml:space="preserve">content of a parenting capacity assessment that </w:t>
      </w:r>
      <w:r w:rsidR="00275142">
        <w:rPr>
          <w:rFonts w:ascii="Arial" w:hAnsi="Arial" w:cs="Arial"/>
          <w:sz w:val="24"/>
          <w:szCs w:val="24"/>
        </w:rPr>
        <w:t xml:space="preserve">has been ordered under section 98 of the </w:t>
      </w:r>
      <w:r w:rsidR="00275142" w:rsidRPr="00275142">
        <w:rPr>
          <w:rFonts w:ascii="Arial" w:hAnsi="Arial" w:cs="Arial"/>
          <w:i/>
          <w:iCs/>
          <w:sz w:val="24"/>
          <w:szCs w:val="24"/>
        </w:rPr>
        <w:t>Child, Youth and Family Services Act</w:t>
      </w:r>
      <w:r w:rsidR="00275142">
        <w:rPr>
          <w:rFonts w:ascii="Arial" w:hAnsi="Arial" w:cs="Arial"/>
          <w:sz w:val="24"/>
          <w:szCs w:val="24"/>
        </w:rPr>
        <w:t>, 2017</w:t>
      </w:r>
      <w:r w:rsidR="00372A16">
        <w:rPr>
          <w:rFonts w:ascii="Arial" w:hAnsi="Arial" w:cs="Arial"/>
          <w:sz w:val="24"/>
          <w:szCs w:val="24"/>
        </w:rPr>
        <w:t xml:space="preserve"> is </w:t>
      </w:r>
      <w:r w:rsidR="000B0234">
        <w:rPr>
          <w:rFonts w:ascii="Arial" w:hAnsi="Arial" w:cs="Arial"/>
          <w:sz w:val="24"/>
          <w:szCs w:val="24"/>
        </w:rPr>
        <w:t xml:space="preserve">prescribed to some degree in </w:t>
      </w:r>
      <w:r w:rsidR="00B0365A">
        <w:rPr>
          <w:rFonts w:ascii="Arial" w:hAnsi="Arial" w:cs="Arial"/>
          <w:sz w:val="24"/>
          <w:szCs w:val="24"/>
        </w:rPr>
        <w:t xml:space="preserve">section 36 of </w:t>
      </w:r>
      <w:r w:rsidR="00A5121F">
        <w:rPr>
          <w:rFonts w:ascii="Arial" w:hAnsi="Arial" w:cs="Arial"/>
          <w:sz w:val="24"/>
          <w:szCs w:val="24"/>
        </w:rPr>
        <w:t>O</w:t>
      </w:r>
      <w:r w:rsidR="000D03F6">
        <w:rPr>
          <w:rFonts w:ascii="Arial" w:hAnsi="Arial" w:cs="Arial"/>
          <w:sz w:val="24"/>
          <w:szCs w:val="24"/>
        </w:rPr>
        <w:t xml:space="preserve">ntario </w:t>
      </w:r>
      <w:r w:rsidR="00A5121F">
        <w:rPr>
          <w:rFonts w:ascii="Arial" w:hAnsi="Arial" w:cs="Arial"/>
          <w:sz w:val="24"/>
          <w:szCs w:val="24"/>
        </w:rPr>
        <w:t>Reg</w:t>
      </w:r>
      <w:r w:rsidR="000D03F6">
        <w:rPr>
          <w:rFonts w:ascii="Arial" w:hAnsi="Arial" w:cs="Arial"/>
          <w:sz w:val="24"/>
          <w:szCs w:val="24"/>
        </w:rPr>
        <w:t>ulation</w:t>
      </w:r>
      <w:r w:rsidR="00A5121F">
        <w:rPr>
          <w:rFonts w:ascii="Arial" w:hAnsi="Arial" w:cs="Arial"/>
          <w:sz w:val="24"/>
          <w:szCs w:val="24"/>
        </w:rPr>
        <w:t xml:space="preserve"> 155/18</w:t>
      </w:r>
      <w:r w:rsidR="00DD7C32">
        <w:rPr>
          <w:rStyle w:val="FootnoteReference"/>
          <w:rFonts w:ascii="Arial" w:hAnsi="Arial" w:cs="Arial"/>
          <w:sz w:val="24"/>
          <w:szCs w:val="24"/>
        </w:rPr>
        <w:footnoteReference w:id="38"/>
      </w:r>
      <w:r w:rsidR="00A5121F">
        <w:rPr>
          <w:rFonts w:ascii="Arial" w:hAnsi="Arial" w:cs="Arial"/>
          <w:sz w:val="24"/>
          <w:szCs w:val="24"/>
        </w:rPr>
        <w:t xml:space="preserve">. </w:t>
      </w:r>
      <w:r w:rsidR="00FC132D">
        <w:rPr>
          <w:rFonts w:ascii="Arial" w:hAnsi="Arial" w:cs="Arial"/>
          <w:sz w:val="24"/>
          <w:szCs w:val="24"/>
        </w:rPr>
        <w:t>With respect to the presentation of the assessment findings, s</w:t>
      </w:r>
      <w:r w:rsidR="00F55908">
        <w:rPr>
          <w:rFonts w:ascii="Arial" w:hAnsi="Arial" w:cs="Arial"/>
          <w:sz w:val="24"/>
          <w:szCs w:val="24"/>
        </w:rPr>
        <w:t xml:space="preserve">ection 36(2) </w:t>
      </w:r>
      <w:r w:rsidR="0013737A">
        <w:rPr>
          <w:rFonts w:ascii="Arial" w:hAnsi="Arial" w:cs="Arial"/>
          <w:sz w:val="24"/>
          <w:szCs w:val="24"/>
        </w:rPr>
        <w:t>of t</w:t>
      </w:r>
      <w:r w:rsidR="00F403D9">
        <w:rPr>
          <w:rFonts w:ascii="Arial" w:hAnsi="Arial" w:cs="Arial"/>
          <w:sz w:val="24"/>
          <w:szCs w:val="24"/>
        </w:rPr>
        <w:t xml:space="preserve">he regulation provides that </w:t>
      </w:r>
      <w:r w:rsidR="003B3D09">
        <w:rPr>
          <w:rFonts w:ascii="Arial" w:hAnsi="Arial" w:cs="Arial"/>
          <w:sz w:val="24"/>
          <w:szCs w:val="24"/>
        </w:rPr>
        <w:t>every assessment report shall include the following:</w:t>
      </w:r>
    </w:p>
    <w:p w14:paraId="0288B9F0" w14:textId="438BCD57" w:rsidR="0013737A" w:rsidRDefault="00682EAF" w:rsidP="00BA0ECB">
      <w:pPr>
        <w:ind w:left="426"/>
        <w:rPr>
          <w:rFonts w:ascii="Arial" w:hAnsi="Arial" w:cs="Arial"/>
          <w:sz w:val="24"/>
          <w:szCs w:val="24"/>
        </w:rPr>
      </w:pPr>
      <w:r>
        <w:rPr>
          <w:rFonts w:ascii="Arial" w:hAnsi="Arial" w:cs="Arial"/>
          <w:sz w:val="24"/>
          <w:szCs w:val="24"/>
        </w:rPr>
        <w:t xml:space="preserve">2. </w:t>
      </w:r>
      <w:r w:rsidR="0013737A">
        <w:rPr>
          <w:rFonts w:ascii="Arial" w:hAnsi="Arial" w:cs="Arial"/>
          <w:sz w:val="24"/>
          <w:szCs w:val="24"/>
        </w:rPr>
        <w:t>A schedule setting out,</w:t>
      </w:r>
    </w:p>
    <w:p w14:paraId="28270E88" w14:textId="4C832CC3" w:rsidR="00D56040" w:rsidRDefault="0013737A" w:rsidP="005A28B3">
      <w:pPr>
        <w:ind w:left="720"/>
        <w:rPr>
          <w:rFonts w:ascii="Arial" w:hAnsi="Arial" w:cs="Arial"/>
          <w:sz w:val="24"/>
          <w:szCs w:val="24"/>
        </w:rPr>
      </w:pPr>
      <w:r w:rsidRPr="0013737A">
        <w:rPr>
          <w:rFonts w:ascii="Arial" w:hAnsi="Arial" w:cs="Arial"/>
          <w:sz w:val="24"/>
          <w:szCs w:val="24"/>
        </w:rPr>
        <w:t>i.</w:t>
      </w:r>
      <w:r>
        <w:rPr>
          <w:rFonts w:ascii="Arial" w:hAnsi="Arial" w:cs="Arial"/>
          <w:sz w:val="24"/>
          <w:szCs w:val="24"/>
        </w:rPr>
        <w:t xml:space="preserve"> </w:t>
      </w:r>
      <w:r w:rsidRPr="0013737A">
        <w:rPr>
          <w:rFonts w:ascii="Arial" w:hAnsi="Arial" w:cs="Arial"/>
          <w:sz w:val="24"/>
          <w:szCs w:val="24"/>
        </w:rPr>
        <w:t xml:space="preserve"> </w:t>
      </w:r>
      <w:r w:rsidR="00B62AD3">
        <w:rPr>
          <w:rFonts w:ascii="Arial" w:hAnsi="Arial" w:cs="Arial"/>
          <w:sz w:val="24"/>
          <w:szCs w:val="24"/>
        </w:rPr>
        <w:t>a summary of the instructions received, whether written or oral,</w:t>
      </w:r>
    </w:p>
    <w:p w14:paraId="5F5912B9" w14:textId="035B667D" w:rsidR="00B62AD3" w:rsidRDefault="00B62AD3" w:rsidP="005A28B3">
      <w:pPr>
        <w:ind w:left="720"/>
        <w:rPr>
          <w:rFonts w:ascii="Arial" w:hAnsi="Arial" w:cs="Arial"/>
          <w:sz w:val="24"/>
          <w:szCs w:val="24"/>
        </w:rPr>
      </w:pPr>
      <w:r>
        <w:rPr>
          <w:rFonts w:ascii="Arial" w:hAnsi="Arial" w:cs="Arial"/>
          <w:sz w:val="24"/>
          <w:szCs w:val="24"/>
        </w:rPr>
        <w:t>ii. a list of the questions upon which an opinion is sought, and</w:t>
      </w:r>
    </w:p>
    <w:p w14:paraId="6477759E" w14:textId="655159BF" w:rsidR="00BE6492" w:rsidRDefault="00BE6492" w:rsidP="005A28B3">
      <w:pPr>
        <w:ind w:left="720"/>
        <w:rPr>
          <w:rFonts w:ascii="Arial" w:hAnsi="Arial" w:cs="Arial"/>
          <w:sz w:val="24"/>
          <w:szCs w:val="24"/>
        </w:rPr>
      </w:pPr>
      <w:r>
        <w:rPr>
          <w:rFonts w:ascii="Arial" w:hAnsi="Arial" w:cs="Arial"/>
          <w:sz w:val="24"/>
          <w:szCs w:val="24"/>
        </w:rPr>
        <w:t>iii. a list of the materials provided and considered.</w:t>
      </w:r>
    </w:p>
    <w:p w14:paraId="7CECD7BD" w14:textId="590FA15E" w:rsidR="00682EAF" w:rsidRDefault="00682EAF" w:rsidP="00BE6492">
      <w:pPr>
        <w:ind w:left="426"/>
        <w:rPr>
          <w:rFonts w:ascii="Arial" w:hAnsi="Arial" w:cs="Arial"/>
          <w:sz w:val="24"/>
          <w:szCs w:val="24"/>
        </w:rPr>
      </w:pPr>
      <w:r>
        <w:rPr>
          <w:rFonts w:ascii="Arial" w:hAnsi="Arial" w:cs="Arial"/>
          <w:sz w:val="24"/>
          <w:szCs w:val="24"/>
        </w:rPr>
        <w:t xml:space="preserve">3. A </w:t>
      </w:r>
      <w:r w:rsidR="00A57706">
        <w:rPr>
          <w:rFonts w:ascii="Arial" w:hAnsi="Arial" w:cs="Arial"/>
          <w:sz w:val="24"/>
          <w:szCs w:val="24"/>
        </w:rPr>
        <w:t xml:space="preserve">schedule setting out the methodology used in carrying out the assessment, including the interviews, observations, measurements, </w:t>
      </w:r>
      <w:proofErr w:type="gramStart"/>
      <w:r w:rsidR="00A57706">
        <w:rPr>
          <w:rFonts w:ascii="Arial" w:hAnsi="Arial" w:cs="Arial"/>
          <w:sz w:val="24"/>
          <w:szCs w:val="24"/>
        </w:rPr>
        <w:t>examinations</w:t>
      </w:r>
      <w:proofErr w:type="gramEnd"/>
      <w:r w:rsidR="00A57706">
        <w:rPr>
          <w:rFonts w:ascii="Arial" w:hAnsi="Arial" w:cs="Arial"/>
          <w:sz w:val="24"/>
          <w:szCs w:val="24"/>
        </w:rPr>
        <w:t xml:space="preserve"> and tests, and whether or not they were conducted or carried out under the assessor’s supervision.</w:t>
      </w:r>
    </w:p>
    <w:p w14:paraId="47AE7082" w14:textId="0E3B11A7" w:rsidR="00294F1D" w:rsidRDefault="00294F1D" w:rsidP="00BE6492">
      <w:pPr>
        <w:ind w:left="426"/>
        <w:rPr>
          <w:rFonts w:ascii="Arial" w:hAnsi="Arial" w:cs="Arial"/>
          <w:sz w:val="24"/>
          <w:szCs w:val="24"/>
        </w:rPr>
      </w:pPr>
      <w:r>
        <w:rPr>
          <w:rFonts w:ascii="Arial" w:hAnsi="Arial" w:cs="Arial"/>
          <w:sz w:val="24"/>
          <w:szCs w:val="24"/>
        </w:rPr>
        <w:t>4. The reasons and factual basis for any conclusions drawn by the assessor.</w:t>
      </w:r>
    </w:p>
    <w:p w14:paraId="0B20DB4F" w14:textId="35CAEA78" w:rsidR="00294F1D" w:rsidRDefault="00294F1D" w:rsidP="00BE6492">
      <w:pPr>
        <w:ind w:left="426"/>
        <w:rPr>
          <w:rFonts w:ascii="Arial" w:hAnsi="Arial" w:cs="Arial"/>
          <w:sz w:val="24"/>
          <w:szCs w:val="24"/>
        </w:rPr>
      </w:pPr>
      <w:r>
        <w:rPr>
          <w:rFonts w:ascii="Arial" w:hAnsi="Arial" w:cs="Arial"/>
          <w:sz w:val="24"/>
          <w:szCs w:val="24"/>
        </w:rPr>
        <w:t>5. A direct response to the questions presented to the assessor in the assessment order, or an explanation of why these questions could not be addressed.</w:t>
      </w:r>
    </w:p>
    <w:p w14:paraId="4491C3A7" w14:textId="495CDA97" w:rsidR="00C6325C" w:rsidRDefault="00C6325C" w:rsidP="00BE6492">
      <w:pPr>
        <w:ind w:left="426"/>
        <w:rPr>
          <w:rFonts w:ascii="Arial" w:hAnsi="Arial" w:cs="Arial"/>
          <w:sz w:val="24"/>
          <w:szCs w:val="24"/>
        </w:rPr>
      </w:pPr>
      <w:r>
        <w:rPr>
          <w:rFonts w:ascii="Arial" w:hAnsi="Arial" w:cs="Arial"/>
          <w:sz w:val="24"/>
          <w:szCs w:val="24"/>
        </w:rPr>
        <w:t>6. Recommendations where these were required of the assessor, or an explanation of why recommendations could not be made.</w:t>
      </w:r>
    </w:p>
    <w:p w14:paraId="0A3A9D13" w14:textId="5933A5D4" w:rsidR="00922BE4" w:rsidRPr="00B330CE" w:rsidRDefault="00B330CE" w:rsidP="00476500">
      <w:pPr>
        <w:rPr>
          <w:rFonts w:ascii="Arial" w:hAnsi="Arial" w:cs="Arial"/>
          <w:b/>
          <w:bCs/>
          <w:sz w:val="24"/>
          <w:szCs w:val="24"/>
        </w:rPr>
      </w:pPr>
      <w:r w:rsidRPr="00B330CE">
        <w:rPr>
          <w:rFonts w:ascii="Arial" w:hAnsi="Arial" w:cs="Arial"/>
          <w:b/>
          <w:bCs/>
          <w:sz w:val="24"/>
          <w:szCs w:val="24"/>
        </w:rPr>
        <w:t>The L</w:t>
      </w:r>
      <w:r w:rsidR="001A16DC">
        <w:rPr>
          <w:rFonts w:ascii="Arial" w:hAnsi="Arial" w:cs="Arial"/>
          <w:b/>
          <w:bCs/>
          <w:sz w:val="24"/>
          <w:szCs w:val="24"/>
        </w:rPr>
        <w:t xml:space="preserve">egal Test for the Admission of Expert Opinion Evidence </w:t>
      </w:r>
    </w:p>
    <w:p w14:paraId="31DBC05D" w14:textId="795ABD4E" w:rsidR="00922BE4" w:rsidRDefault="00E60849" w:rsidP="00476500">
      <w:pPr>
        <w:rPr>
          <w:rFonts w:ascii="Arial" w:hAnsi="Arial" w:cs="Arial"/>
          <w:sz w:val="24"/>
          <w:szCs w:val="24"/>
        </w:rPr>
      </w:pPr>
      <w:r>
        <w:rPr>
          <w:rFonts w:ascii="Arial" w:hAnsi="Arial" w:cs="Arial"/>
          <w:sz w:val="24"/>
          <w:szCs w:val="24"/>
        </w:rPr>
        <w:t xml:space="preserve">In </w:t>
      </w:r>
      <w:r w:rsidR="000B5E1C" w:rsidRPr="00A6487D">
        <w:rPr>
          <w:rFonts w:ascii="Arial" w:hAnsi="Arial" w:cs="Arial"/>
          <w:i/>
          <w:iCs/>
          <w:sz w:val="24"/>
          <w:szCs w:val="24"/>
        </w:rPr>
        <w:t xml:space="preserve">White Burgess </w:t>
      </w:r>
      <w:proofErr w:type="spellStart"/>
      <w:r w:rsidR="000B5E1C" w:rsidRPr="00A6487D">
        <w:rPr>
          <w:rFonts w:ascii="Arial" w:hAnsi="Arial" w:cs="Arial"/>
          <w:i/>
          <w:iCs/>
          <w:sz w:val="24"/>
          <w:szCs w:val="24"/>
        </w:rPr>
        <w:t>Langille</w:t>
      </w:r>
      <w:proofErr w:type="spellEnd"/>
      <w:r w:rsidR="000B5E1C" w:rsidRPr="00A6487D">
        <w:rPr>
          <w:rFonts w:ascii="Arial" w:hAnsi="Arial" w:cs="Arial"/>
          <w:i/>
          <w:iCs/>
          <w:sz w:val="24"/>
          <w:szCs w:val="24"/>
        </w:rPr>
        <w:t xml:space="preserve"> Inman v. Abbott and Haliburton Co</w:t>
      </w:r>
      <w:r w:rsidR="000B5E1C">
        <w:rPr>
          <w:rFonts w:ascii="Arial" w:hAnsi="Arial" w:cs="Arial"/>
          <w:sz w:val="24"/>
          <w:szCs w:val="24"/>
        </w:rPr>
        <w:t xml:space="preserve">., </w:t>
      </w:r>
      <w:r w:rsidR="00D455A7">
        <w:rPr>
          <w:rFonts w:ascii="Arial" w:hAnsi="Arial" w:cs="Arial"/>
          <w:sz w:val="24"/>
          <w:szCs w:val="24"/>
        </w:rPr>
        <w:t xml:space="preserve">Cromwell J. </w:t>
      </w:r>
      <w:r w:rsidR="00BA7457">
        <w:rPr>
          <w:rFonts w:ascii="Arial" w:hAnsi="Arial" w:cs="Arial"/>
          <w:sz w:val="24"/>
          <w:szCs w:val="24"/>
        </w:rPr>
        <w:t>speaking for the majority, states as follows:</w:t>
      </w:r>
    </w:p>
    <w:p w14:paraId="5B01056C" w14:textId="768C8F9B" w:rsidR="00FA546A" w:rsidRDefault="00BA7457" w:rsidP="00FA546A">
      <w:pPr>
        <w:ind w:left="720"/>
        <w:rPr>
          <w:rFonts w:ascii="Arial" w:hAnsi="Arial" w:cs="Arial"/>
          <w:sz w:val="24"/>
          <w:szCs w:val="24"/>
        </w:rPr>
      </w:pPr>
      <w:r>
        <w:rPr>
          <w:rFonts w:ascii="Arial" w:hAnsi="Arial" w:cs="Arial"/>
          <w:sz w:val="24"/>
          <w:szCs w:val="24"/>
        </w:rPr>
        <w:t>Expert opinion evidence can be a key element in the search for truth, but it may also pose special dangers</w:t>
      </w:r>
      <w:r w:rsidR="00B55496">
        <w:rPr>
          <w:rFonts w:ascii="Arial" w:hAnsi="Arial" w:cs="Arial"/>
          <w:sz w:val="24"/>
          <w:szCs w:val="24"/>
        </w:rPr>
        <w:t>.  To guard against them, the Court over the last 20 years or so has progressively tigh</w:t>
      </w:r>
      <w:r w:rsidR="00EB0E86">
        <w:rPr>
          <w:rFonts w:ascii="Arial" w:hAnsi="Arial" w:cs="Arial"/>
          <w:sz w:val="24"/>
          <w:szCs w:val="24"/>
        </w:rPr>
        <w:t xml:space="preserve">tened the rules of admissibility and enhanced </w:t>
      </w:r>
      <w:r w:rsidR="00EB0E86">
        <w:rPr>
          <w:rFonts w:ascii="Arial" w:hAnsi="Arial" w:cs="Arial"/>
          <w:sz w:val="24"/>
          <w:szCs w:val="24"/>
        </w:rPr>
        <w:lastRenderedPageBreak/>
        <w:t>the trial judge’s gatekeeping role</w:t>
      </w:r>
      <w:r w:rsidR="00F44C17">
        <w:rPr>
          <w:rFonts w:ascii="Arial" w:hAnsi="Arial" w:cs="Arial"/>
          <w:sz w:val="24"/>
          <w:szCs w:val="24"/>
        </w:rPr>
        <w:t>.  These developments seek to ensure that expert opinion evidence meets certain basic standards before it is admitted.</w:t>
      </w:r>
      <w:r w:rsidR="007A3CF9">
        <w:rPr>
          <w:rStyle w:val="FootnoteReference"/>
          <w:rFonts w:ascii="Arial" w:hAnsi="Arial" w:cs="Arial"/>
          <w:sz w:val="24"/>
          <w:szCs w:val="24"/>
        </w:rPr>
        <w:footnoteReference w:id="39"/>
      </w:r>
    </w:p>
    <w:p w14:paraId="096E2C3E" w14:textId="60961607" w:rsidR="0040155B" w:rsidRDefault="000027B3" w:rsidP="00476500">
      <w:pPr>
        <w:rPr>
          <w:rFonts w:ascii="Arial" w:hAnsi="Arial" w:cs="Arial"/>
          <w:sz w:val="24"/>
          <w:szCs w:val="24"/>
        </w:rPr>
      </w:pPr>
      <w:r>
        <w:rPr>
          <w:rFonts w:ascii="Arial" w:hAnsi="Arial" w:cs="Arial"/>
          <w:sz w:val="24"/>
          <w:szCs w:val="24"/>
        </w:rPr>
        <w:t xml:space="preserve">The test for the admission of expert opinion evidence </w:t>
      </w:r>
      <w:r w:rsidR="008D0C36">
        <w:rPr>
          <w:rFonts w:ascii="Arial" w:hAnsi="Arial" w:cs="Arial"/>
          <w:sz w:val="24"/>
          <w:szCs w:val="24"/>
        </w:rPr>
        <w:t xml:space="preserve">was first articulated in </w:t>
      </w:r>
      <w:r w:rsidR="008D0C36" w:rsidRPr="00531183">
        <w:rPr>
          <w:rFonts w:ascii="Arial" w:hAnsi="Arial" w:cs="Arial"/>
          <w:i/>
          <w:iCs/>
          <w:sz w:val="24"/>
          <w:szCs w:val="24"/>
        </w:rPr>
        <w:t>R. v. Mohan</w:t>
      </w:r>
      <w:r w:rsidR="008D0C36">
        <w:rPr>
          <w:rFonts w:ascii="Arial" w:hAnsi="Arial" w:cs="Arial"/>
          <w:sz w:val="24"/>
          <w:szCs w:val="24"/>
        </w:rPr>
        <w:t xml:space="preserve"> which set out the four factors of relevance, necessity</w:t>
      </w:r>
      <w:r w:rsidR="00BC3ECC">
        <w:rPr>
          <w:rFonts w:ascii="Arial" w:hAnsi="Arial" w:cs="Arial"/>
          <w:sz w:val="24"/>
          <w:szCs w:val="24"/>
        </w:rPr>
        <w:t>, absence of an exclusionary rule and a properly qualified expert.</w:t>
      </w:r>
      <w:r w:rsidR="00BC3ECC">
        <w:rPr>
          <w:rStyle w:val="FootnoteReference"/>
          <w:rFonts w:ascii="Arial" w:hAnsi="Arial" w:cs="Arial"/>
          <w:sz w:val="24"/>
          <w:szCs w:val="24"/>
        </w:rPr>
        <w:footnoteReference w:id="40"/>
      </w:r>
      <w:r w:rsidR="00531183">
        <w:rPr>
          <w:rFonts w:ascii="Arial" w:hAnsi="Arial" w:cs="Arial"/>
          <w:sz w:val="24"/>
          <w:szCs w:val="24"/>
        </w:rPr>
        <w:t xml:space="preserve"> </w:t>
      </w:r>
      <w:r w:rsidR="0027017A">
        <w:rPr>
          <w:rFonts w:ascii="Arial" w:hAnsi="Arial" w:cs="Arial"/>
          <w:sz w:val="24"/>
          <w:szCs w:val="24"/>
        </w:rPr>
        <w:t xml:space="preserve">In </w:t>
      </w:r>
      <w:r w:rsidR="00564187">
        <w:rPr>
          <w:rFonts w:ascii="Arial" w:hAnsi="Arial" w:cs="Arial"/>
          <w:sz w:val="24"/>
          <w:szCs w:val="24"/>
        </w:rPr>
        <w:t>the 2</w:t>
      </w:r>
      <w:r w:rsidR="00BA670A">
        <w:rPr>
          <w:rFonts w:ascii="Arial" w:hAnsi="Arial" w:cs="Arial"/>
          <w:sz w:val="24"/>
          <w:szCs w:val="24"/>
        </w:rPr>
        <w:t xml:space="preserve">017 decision of </w:t>
      </w:r>
      <w:r w:rsidR="0027017A" w:rsidRPr="0027017A">
        <w:rPr>
          <w:rFonts w:ascii="Arial" w:hAnsi="Arial" w:cs="Arial"/>
          <w:i/>
          <w:iCs/>
          <w:sz w:val="24"/>
          <w:szCs w:val="24"/>
        </w:rPr>
        <w:t>R. V. Abbey</w:t>
      </w:r>
      <w:r w:rsidR="0027017A">
        <w:rPr>
          <w:rFonts w:ascii="Arial" w:hAnsi="Arial" w:cs="Arial"/>
          <w:sz w:val="24"/>
          <w:szCs w:val="24"/>
        </w:rPr>
        <w:t xml:space="preserve"> #2</w:t>
      </w:r>
      <w:r w:rsidR="00842FC6">
        <w:rPr>
          <w:rFonts w:ascii="Arial" w:hAnsi="Arial" w:cs="Arial"/>
          <w:sz w:val="24"/>
          <w:szCs w:val="24"/>
        </w:rPr>
        <w:t xml:space="preserve">, </w:t>
      </w:r>
      <w:r w:rsidR="00A957BB">
        <w:rPr>
          <w:rFonts w:ascii="Arial" w:hAnsi="Arial" w:cs="Arial"/>
          <w:sz w:val="24"/>
          <w:szCs w:val="24"/>
        </w:rPr>
        <w:t xml:space="preserve">the </w:t>
      </w:r>
      <w:r w:rsidR="00FA6629">
        <w:rPr>
          <w:rFonts w:ascii="Arial" w:hAnsi="Arial" w:cs="Arial"/>
          <w:sz w:val="24"/>
          <w:szCs w:val="24"/>
        </w:rPr>
        <w:t xml:space="preserve">court summarizes the </w:t>
      </w:r>
      <w:r w:rsidR="00E715A5">
        <w:rPr>
          <w:rFonts w:ascii="Arial" w:hAnsi="Arial" w:cs="Arial"/>
          <w:sz w:val="24"/>
          <w:szCs w:val="24"/>
        </w:rPr>
        <w:t>current</w:t>
      </w:r>
      <w:r w:rsidR="00E87F66">
        <w:rPr>
          <w:rFonts w:ascii="Arial" w:hAnsi="Arial" w:cs="Arial"/>
          <w:sz w:val="24"/>
          <w:szCs w:val="24"/>
        </w:rPr>
        <w:t xml:space="preserve"> </w:t>
      </w:r>
      <w:r w:rsidR="00FA6629">
        <w:rPr>
          <w:rFonts w:ascii="Arial" w:hAnsi="Arial" w:cs="Arial"/>
          <w:sz w:val="24"/>
          <w:szCs w:val="24"/>
        </w:rPr>
        <w:t xml:space="preserve">law </w:t>
      </w:r>
      <w:r w:rsidR="00E87F66">
        <w:rPr>
          <w:rFonts w:ascii="Arial" w:hAnsi="Arial" w:cs="Arial"/>
          <w:sz w:val="24"/>
          <w:szCs w:val="24"/>
        </w:rPr>
        <w:t xml:space="preserve">as it has developed </w:t>
      </w:r>
      <w:r w:rsidR="00A31C3C">
        <w:rPr>
          <w:rFonts w:ascii="Arial" w:hAnsi="Arial" w:cs="Arial"/>
          <w:sz w:val="24"/>
          <w:szCs w:val="24"/>
        </w:rPr>
        <w:t xml:space="preserve">since </w:t>
      </w:r>
      <w:r w:rsidR="00A31C3C" w:rsidRPr="00A31C3C">
        <w:rPr>
          <w:rFonts w:ascii="Arial" w:hAnsi="Arial" w:cs="Arial"/>
          <w:i/>
          <w:iCs/>
          <w:sz w:val="24"/>
          <w:szCs w:val="24"/>
        </w:rPr>
        <w:t>Mohan</w:t>
      </w:r>
      <w:r w:rsidR="00A31C3C">
        <w:rPr>
          <w:rFonts w:ascii="Arial" w:hAnsi="Arial" w:cs="Arial"/>
          <w:sz w:val="24"/>
          <w:szCs w:val="24"/>
        </w:rPr>
        <w:t xml:space="preserve"> in relation </w:t>
      </w:r>
      <w:proofErr w:type="gramStart"/>
      <w:r w:rsidR="00A31C3C">
        <w:rPr>
          <w:rFonts w:ascii="Arial" w:hAnsi="Arial" w:cs="Arial"/>
          <w:sz w:val="24"/>
          <w:szCs w:val="24"/>
        </w:rPr>
        <w:t xml:space="preserve">to </w:t>
      </w:r>
      <w:r w:rsidR="00FA6629">
        <w:rPr>
          <w:rFonts w:ascii="Arial" w:hAnsi="Arial" w:cs="Arial"/>
          <w:sz w:val="24"/>
          <w:szCs w:val="24"/>
        </w:rPr>
        <w:t xml:space="preserve"> the</w:t>
      </w:r>
      <w:proofErr w:type="gramEnd"/>
      <w:r w:rsidR="00FA6629">
        <w:rPr>
          <w:rFonts w:ascii="Arial" w:hAnsi="Arial" w:cs="Arial"/>
          <w:sz w:val="24"/>
          <w:szCs w:val="24"/>
        </w:rPr>
        <w:t xml:space="preserve"> admissibility of expert </w:t>
      </w:r>
      <w:r w:rsidR="001B2EFA">
        <w:rPr>
          <w:rFonts w:ascii="Arial" w:hAnsi="Arial" w:cs="Arial"/>
          <w:sz w:val="24"/>
          <w:szCs w:val="24"/>
        </w:rPr>
        <w:t>evidence:</w:t>
      </w:r>
      <w:r w:rsidR="008902FE">
        <w:rPr>
          <w:rStyle w:val="FootnoteReference"/>
          <w:rFonts w:ascii="Arial" w:hAnsi="Arial" w:cs="Arial"/>
          <w:sz w:val="24"/>
          <w:szCs w:val="24"/>
        </w:rPr>
        <w:footnoteReference w:id="41"/>
      </w:r>
    </w:p>
    <w:p w14:paraId="28866B71" w14:textId="0C3244FC" w:rsidR="001B2EFA" w:rsidRDefault="001B2EFA" w:rsidP="007C1A68">
      <w:pPr>
        <w:ind w:left="720"/>
        <w:rPr>
          <w:rFonts w:ascii="Arial" w:hAnsi="Arial" w:cs="Arial"/>
          <w:sz w:val="24"/>
          <w:szCs w:val="24"/>
        </w:rPr>
      </w:pPr>
      <w:r>
        <w:rPr>
          <w:rFonts w:ascii="Arial" w:hAnsi="Arial" w:cs="Arial"/>
          <w:sz w:val="24"/>
          <w:szCs w:val="24"/>
        </w:rPr>
        <w:t>[</w:t>
      </w:r>
      <w:r w:rsidR="007A7705">
        <w:rPr>
          <w:rFonts w:ascii="Arial" w:hAnsi="Arial" w:cs="Arial"/>
          <w:sz w:val="24"/>
          <w:szCs w:val="24"/>
        </w:rPr>
        <w:t xml:space="preserve">47] The test in </w:t>
      </w:r>
      <w:r w:rsidR="007A7705" w:rsidRPr="007A7705">
        <w:rPr>
          <w:rFonts w:ascii="Arial" w:hAnsi="Arial" w:cs="Arial"/>
          <w:i/>
          <w:iCs/>
          <w:sz w:val="24"/>
          <w:szCs w:val="24"/>
        </w:rPr>
        <w:t>White Burgess</w:t>
      </w:r>
      <w:r w:rsidR="007A7705">
        <w:rPr>
          <w:rFonts w:ascii="Arial" w:hAnsi="Arial" w:cs="Arial"/>
          <w:sz w:val="24"/>
          <w:szCs w:val="24"/>
        </w:rPr>
        <w:t xml:space="preserve"> is now </w:t>
      </w:r>
      <w:r w:rsidR="00B976ED">
        <w:rPr>
          <w:rFonts w:ascii="Arial" w:hAnsi="Arial" w:cs="Arial"/>
          <w:sz w:val="24"/>
          <w:szCs w:val="24"/>
        </w:rPr>
        <w:t xml:space="preserve">the governing test for the admissibility of expert evidence.  </w:t>
      </w:r>
      <w:r w:rsidR="00F5674A">
        <w:rPr>
          <w:rFonts w:ascii="Arial" w:hAnsi="Arial" w:cs="Arial"/>
          <w:sz w:val="24"/>
          <w:szCs w:val="24"/>
        </w:rPr>
        <w:t>It adopts a two-stage approach first suggested in Abbey #1</w:t>
      </w:r>
      <w:r w:rsidR="008551FA">
        <w:rPr>
          <w:rFonts w:ascii="Arial" w:hAnsi="Arial" w:cs="Arial"/>
          <w:sz w:val="24"/>
          <w:szCs w:val="24"/>
        </w:rPr>
        <w:t xml:space="preserve">:  </w:t>
      </w:r>
      <w:r w:rsidR="00CA4356">
        <w:rPr>
          <w:rFonts w:ascii="Arial" w:hAnsi="Arial" w:cs="Arial"/>
          <w:sz w:val="24"/>
          <w:szCs w:val="24"/>
        </w:rPr>
        <w:t xml:space="preserve">the first stage focuses on threshold requirements of </w:t>
      </w:r>
      <w:proofErr w:type="gramStart"/>
      <w:r w:rsidR="00CA4356">
        <w:rPr>
          <w:rFonts w:ascii="Arial" w:hAnsi="Arial" w:cs="Arial"/>
          <w:sz w:val="24"/>
          <w:szCs w:val="24"/>
        </w:rPr>
        <w:t xml:space="preserve">admissibility; </w:t>
      </w:r>
      <w:r w:rsidR="00F27236">
        <w:rPr>
          <w:rFonts w:ascii="Arial" w:hAnsi="Arial" w:cs="Arial"/>
          <w:sz w:val="24"/>
          <w:szCs w:val="24"/>
        </w:rPr>
        <w:t xml:space="preserve"> the</w:t>
      </w:r>
      <w:proofErr w:type="gramEnd"/>
      <w:r w:rsidR="00F27236">
        <w:rPr>
          <w:rFonts w:ascii="Arial" w:hAnsi="Arial" w:cs="Arial"/>
          <w:sz w:val="24"/>
          <w:szCs w:val="24"/>
        </w:rPr>
        <w:t xml:space="preserve"> second stage focuses on the trial judge’s discretionary gatekeeping role.</w:t>
      </w:r>
      <w:r w:rsidR="004D1667">
        <w:rPr>
          <w:rFonts w:ascii="Arial" w:hAnsi="Arial" w:cs="Arial"/>
          <w:sz w:val="24"/>
          <w:szCs w:val="24"/>
        </w:rPr>
        <w:t xml:space="preserve">  Each stage has a specific set of criteria.</w:t>
      </w:r>
    </w:p>
    <w:p w14:paraId="7F8D26D3" w14:textId="63235C1B" w:rsidR="004234A0" w:rsidRDefault="004234A0" w:rsidP="007C1A68">
      <w:pPr>
        <w:ind w:left="720"/>
        <w:rPr>
          <w:rFonts w:ascii="Arial" w:hAnsi="Arial" w:cs="Arial"/>
          <w:sz w:val="24"/>
          <w:szCs w:val="24"/>
        </w:rPr>
      </w:pPr>
      <w:r>
        <w:rPr>
          <w:rFonts w:ascii="Arial" w:hAnsi="Arial" w:cs="Arial"/>
          <w:sz w:val="24"/>
          <w:szCs w:val="24"/>
        </w:rPr>
        <w:t xml:space="preserve">[48] </w:t>
      </w:r>
      <w:r w:rsidR="005929B6">
        <w:rPr>
          <w:rFonts w:ascii="Arial" w:hAnsi="Arial" w:cs="Arial"/>
          <w:sz w:val="24"/>
          <w:szCs w:val="24"/>
        </w:rPr>
        <w:t>The test may be summarized as follows:</w:t>
      </w:r>
    </w:p>
    <w:p w14:paraId="5E916008" w14:textId="06D396A6" w:rsidR="00E953E4" w:rsidRDefault="00E953E4" w:rsidP="007C1A68">
      <w:pPr>
        <w:ind w:left="720"/>
        <w:rPr>
          <w:rFonts w:ascii="Arial" w:hAnsi="Arial" w:cs="Arial"/>
          <w:sz w:val="24"/>
          <w:szCs w:val="24"/>
        </w:rPr>
      </w:pPr>
      <w:r>
        <w:rPr>
          <w:rFonts w:ascii="Arial" w:hAnsi="Arial" w:cs="Arial"/>
          <w:sz w:val="24"/>
          <w:szCs w:val="24"/>
        </w:rPr>
        <w:t>Expert evidence is ad</w:t>
      </w:r>
      <w:r w:rsidR="00BD6013">
        <w:rPr>
          <w:rFonts w:ascii="Arial" w:hAnsi="Arial" w:cs="Arial"/>
          <w:sz w:val="24"/>
          <w:szCs w:val="24"/>
        </w:rPr>
        <w:t>missible when:</w:t>
      </w:r>
    </w:p>
    <w:p w14:paraId="7E471BF8" w14:textId="168D8682" w:rsidR="00BD6013" w:rsidRDefault="00BD6013" w:rsidP="007C1A68">
      <w:pPr>
        <w:ind w:left="720"/>
        <w:rPr>
          <w:rFonts w:ascii="Arial" w:hAnsi="Arial" w:cs="Arial"/>
          <w:sz w:val="24"/>
          <w:szCs w:val="24"/>
        </w:rPr>
      </w:pPr>
      <w:r>
        <w:rPr>
          <w:rFonts w:ascii="Arial" w:hAnsi="Arial" w:cs="Arial"/>
          <w:sz w:val="24"/>
          <w:szCs w:val="24"/>
        </w:rPr>
        <w:t xml:space="preserve">(1) It meets the </w:t>
      </w:r>
      <w:r w:rsidR="0066536D">
        <w:rPr>
          <w:rFonts w:ascii="Arial" w:hAnsi="Arial" w:cs="Arial"/>
          <w:sz w:val="24"/>
          <w:szCs w:val="24"/>
        </w:rPr>
        <w:t>threshold requirements of admissibility which are:</w:t>
      </w:r>
    </w:p>
    <w:p w14:paraId="4E6DF85A" w14:textId="4B3E4D0C" w:rsidR="0066536D" w:rsidRDefault="0066536D" w:rsidP="007C1A68">
      <w:pPr>
        <w:ind w:left="1440"/>
        <w:rPr>
          <w:rFonts w:ascii="Arial" w:hAnsi="Arial" w:cs="Arial"/>
          <w:sz w:val="24"/>
          <w:szCs w:val="24"/>
        </w:rPr>
      </w:pPr>
      <w:r>
        <w:rPr>
          <w:rFonts w:ascii="Arial" w:hAnsi="Arial" w:cs="Arial"/>
          <w:sz w:val="24"/>
          <w:szCs w:val="24"/>
        </w:rPr>
        <w:t xml:space="preserve">a. The evidence must be logically </w:t>
      </w:r>
      <w:proofErr w:type="gramStart"/>
      <w:r>
        <w:rPr>
          <w:rFonts w:ascii="Arial" w:hAnsi="Arial" w:cs="Arial"/>
          <w:sz w:val="24"/>
          <w:szCs w:val="24"/>
        </w:rPr>
        <w:t>relevant;</w:t>
      </w:r>
      <w:proofErr w:type="gramEnd"/>
    </w:p>
    <w:p w14:paraId="301E9E13" w14:textId="3DCA7C26" w:rsidR="0066536D" w:rsidRDefault="0066536D" w:rsidP="007C1A68">
      <w:pPr>
        <w:ind w:left="1440"/>
        <w:rPr>
          <w:rFonts w:ascii="Arial" w:hAnsi="Arial" w:cs="Arial"/>
          <w:sz w:val="24"/>
          <w:szCs w:val="24"/>
        </w:rPr>
      </w:pPr>
      <w:r>
        <w:rPr>
          <w:rFonts w:ascii="Arial" w:hAnsi="Arial" w:cs="Arial"/>
          <w:sz w:val="24"/>
          <w:szCs w:val="24"/>
        </w:rPr>
        <w:t>b. The evidence must be necessary</w:t>
      </w:r>
      <w:r w:rsidR="008B01DF">
        <w:rPr>
          <w:rFonts w:ascii="Arial" w:hAnsi="Arial" w:cs="Arial"/>
          <w:sz w:val="24"/>
          <w:szCs w:val="24"/>
        </w:rPr>
        <w:t xml:space="preserve"> to assist the trier of </w:t>
      </w:r>
      <w:proofErr w:type="gramStart"/>
      <w:r w:rsidR="008B01DF">
        <w:rPr>
          <w:rFonts w:ascii="Arial" w:hAnsi="Arial" w:cs="Arial"/>
          <w:sz w:val="24"/>
          <w:szCs w:val="24"/>
        </w:rPr>
        <w:t>facts;</w:t>
      </w:r>
      <w:proofErr w:type="gramEnd"/>
    </w:p>
    <w:p w14:paraId="1C098B6F" w14:textId="45145A2F" w:rsidR="008B01DF" w:rsidRDefault="008B01DF" w:rsidP="007C1A68">
      <w:pPr>
        <w:ind w:left="1440"/>
        <w:rPr>
          <w:rFonts w:ascii="Arial" w:hAnsi="Arial" w:cs="Arial"/>
          <w:sz w:val="24"/>
          <w:szCs w:val="24"/>
        </w:rPr>
      </w:pPr>
      <w:r>
        <w:rPr>
          <w:rFonts w:ascii="Arial" w:hAnsi="Arial" w:cs="Arial"/>
          <w:sz w:val="24"/>
          <w:szCs w:val="24"/>
        </w:rPr>
        <w:t xml:space="preserve">c.  The evidence must not be subject to any other exclusionary </w:t>
      </w:r>
      <w:proofErr w:type="gramStart"/>
      <w:r>
        <w:rPr>
          <w:rFonts w:ascii="Arial" w:hAnsi="Arial" w:cs="Arial"/>
          <w:sz w:val="24"/>
          <w:szCs w:val="24"/>
        </w:rPr>
        <w:t>rule;</w:t>
      </w:r>
      <w:proofErr w:type="gramEnd"/>
    </w:p>
    <w:p w14:paraId="38D487DA" w14:textId="6FBDCF1E" w:rsidR="008B01DF" w:rsidRDefault="008B01DF" w:rsidP="007C1A68">
      <w:pPr>
        <w:ind w:left="1854" w:hanging="414"/>
        <w:rPr>
          <w:rFonts w:ascii="Arial" w:hAnsi="Arial" w:cs="Arial"/>
          <w:sz w:val="24"/>
          <w:szCs w:val="24"/>
        </w:rPr>
      </w:pPr>
      <w:r>
        <w:rPr>
          <w:rFonts w:ascii="Arial" w:hAnsi="Arial" w:cs="Arial"/>
          <w:sz w:val="24"/>
          <w:szCs w:val="24"/>
        </w:rPr>
        <w:t>d.  The expert must be properly qualified, which includes</w:t>
      </w:r>
      <w:r w:rsidR="00041DC6">
        <w:rPr>
          <w:rFonts w:ascii="Arial" w:hAnsi="Arial" w:cs="Arial"/>
          <w:sz w:val="24"/>
          <w:szCs w:val="24"/>
        </w:rPr>
        <w:t xml:space="preserve"> the requirement that the expert be willing and able to fulfill the expert’s duty to the court to provide evidence that is:</w:t>
      </w:r>
    </w:p>
    <w:p w14:paraId="5FBFB000" w14:textId="77304803" w:rsidR="00041DC6" w:rsidRDefault="003F0EA2" w:rsidP="007C1A68">
      <w:pPr>
        <w:ind w:left="2268" w:hanging="414"/>
        <w:rPr>
          <w:rFonts w:ascii="Arial" w:hAnsi="Arial" w:cs="Arial"/>
          <w:sz w:val="24"/>
          <w:szCs w:val="24"/>
        </w:rPr>
      </w:pPr>
      <w:r>
        <w:rPr>
          <w:rFonts w:ascii="Arial" w:hAnsi="Arial" w:cs="Arial"/>
          <w:sz w:val="24"/>
          <w:szCs w:val="24"/>
        </w:rPr>
        <w:t>i.   Impartial,</w:t>
      </w:r>
    </w:p>
    <w:p w14:paraId="5B3E6058" w14:textId="78CF1343" w:rsidR="003F0EA2" w:rsidRDefault="003F0EA2" w:rsidP="007C1A68">
      <w:pPr>
        <w:ind w:left="2268" w:hanging="414"/>
        <w:rPr>
          <w:rFonts w:ascii="Arial" w:hAnsi="Arial" w:cs="Arial"/>
          <w:sz w:val="24"/>
          <w:szCs w:val="24"/>
        </w:rPr>
      </w:pPr>
      <w:r>
        <w:rPr>
          <w:rFonts w:ascii="Arial" w:hAnsi="Arial" w:cs="Arial"/>
          <w:sz w:val="24"/>
          <w:szCs w:val="24"/>
        </w:rPr>
        <w:t>ii.  Independent, and</w:t>
      </w:r>
    </w:p>
    <w:p w14:paraId="15E05DED" w14:textId="6E8402C9" w:rsidR="003F0EA2" w:rsidRDefault="003F0EA2" w:rsidP="007C1A68">
      <w:pPr>
        <w:ind w:left="2268" w:hanging="414"/>
        <w:rPr>
          <w:rFonts w:ascii="Arial" w:hAnsi="Arial" w:cs="Arial"/>
          <w:sz w:val="24"/>
          <w:szCs w:val="24"/>
        </w:rPr>
      </w:pPr>
      <w:r>
        <w:rPr>
          <w:rFonts w:ascii="Arial" w:hAnsi="Arial" w:cs="Arial"/>
          <w:sz w:val="24"/>
          <w:szCs w:val="24"/>
        </w:rPr>
        <w:t>iii.  Unbiased.</w:t>
      </w:r>
    </w:p>
    <w:p w14:paraId="596BDB2B" w14:textId="1CEDD873" w:rsidR="00C91114" w:rsidRDefault="00B73691" w:rsidP="007C1A68">
      <w:pPr>
        <w:ind w:left="1854" w:hanging="425"/>
        <w:rPr>
          <w:rFonts w:ascii="Arial" w:hAnsi="Arial" w:cs="Arial"/>
          <w:sz w:val="24"/>
          <w:szCs w:val="24"/>
        </w:rPr>
      </w:pPr>
      <w:r>
        <w:rPr>
          <w:rFonts w:ascii="Arial" w:hAnsi="Arial" w:cs="Arial"/>
          <w:sz w:val="24"/>
          <w:szCs w:val="24"/>
        </w:rPr>
        <w:t xml:space="preserve">e. </w:t>
      </w:r>
      <w:r w:rsidR="004427FA">
        <w:rPr>
          <w:rFonts w:ascii="Arial" w:hAnsi="Arial" w:cs="Arial"/>
          <w:sz w:val="24"/>
          <w:szCs w:val="24"/>
        </w:rPr>
        <w:t xml:space="preserve">  For opinions based on novel or contested science or science used for a novel purpose the underlying science must be reliable for that purpose.</w:t>
      </w:r>
    </w:p>
    <w:p w14:paraId="6B956C32" w14:textId="2B9949AA" w:rsidR="00F02BB6" w:rsidRDefault="00F02BB6" w:rsidP="007C1A68">
      <w:pPr>
        <w:ind w:left="1712" w:hanging="425"/>
        <w:rPr>
          <w:rFonts w:ascii="Arial" w:hAnsi="Arial" w:cs="Arial"/>
          <w:sz w:val="24"/>
          <w:szCs w:val="24"/>
        </w:rPr>
      </w:pPr>
      <w:r>
        <w:rPr>
          <w:rFonts w:ascii="Arial" w:hAnsi="Arial" w:cs="Arial"/>
          <w:sz w:val="24"/>
          <w:szCs w:val="24"/>
        </w:rPr>
        <w:t>And</w:t>
      </w:r>
    </w:p>
    <w:p w14:paraId="080B8802" w14:textId="764C8FD9" w:rsidR="00F02BB6" w:rsidRDefault="00F02BB6" w:rsidP="007C1A68">
      <w:pPr>
        <w:ind w:left="720"/>
        <w:rPr>
          <w:rFonts w:ascii="Arial" w:hAnsi="Arial" w:cs="Arial"/>
          <w:sz w:val="24"/>
          <w:szCs w:val="24"/>
        </w:rPr>
      </w:pPr>
      <w:r>
        <w:rPr>
          <w:rFonts w:ascii="Arial" w:hAnsi="Arial" w:cs="Arial"/>
          <w:sz w:val="24"/>
          <w:szCs w:val="24"/>
        </w:rPr>
        <w:t>(2)</w:t>
      </w:r>
      <w:r w:rsidR="00DA3948">
        <w:rPr>
          <w:rFonts w:ascii="Arial" w:hAnsi="Arial" w:cs="Arial"/>
          <w:sz w:val="24"/>
          <w:szCs w:val="24"/>
        </w:rPr>
        <w:t xml:space="preserve">  The trial judge, in a </w:t>
      </w:r>
      <w:r w:rsidR="008B72D5">
        <w:rPr>
          <w:rFonts w:ascii="Arial" w:hAnsi="Arial" w:cs="Arial"/>
          <w:sz w:val="24"/>
          <w:szCs w:val="24"/>
        </w:rPr>
        <w:t>gatekeeper role, determines that the benefits of admitting the ev</w:t>
      </w:r>
      <w:r w:rsidR="00A836AB">
        <w:rPr>
          <w:rFonts w:ascii="Arial" w:hAnsi="Arial" w:cs="Arial"/>
          <w:sz w:val="24"/>
          <w:szCs w:val="24"/>
        </w:rPr>
        <w:t>idence outweigh its potential risks, considering such factors as:</w:t>
      </w:r>
    </w:p>
    <w:p w14:paraId="72376D9E" w14:textId="3A4163C3" w:rsidR="00A836AB" w:rsidRDefault="00A836AB" w:rsidP="00CB23C2">
      <w:pPr>
        <w:ind w:left="709"/>
        <w:rPr>
          <w:rFonts w:ascii="Arial" w:hAnsi="Arial" w:cs="Arial"/>
          <w:sz w:val="24"/>
          <w:szCs w:val="24"/>
        </w:rPr>
      </w:pPr>
      <w:r>
        <w:rPr>
          <w:rFonts w:ascii="Arial" w:hAnsi="Arial" w:cs="Arial"/>
          <w:sz w:val="24"/>
          <w:szCs w:val="24"/>
        </w:rPr>
        <w:t xml:space="preserve">a. </w:t>
      </w:r>
      <w:r w:rsidR="00CB23C2">
        <w:rPr>
          <w:rFonts w:ascii="Arial" w:hAnsi="Arial" w:cs="Arial"/>
          <w:sz w:val="24"/>
          <w:szCs w:val="24"/>
        </w:rPr>
        <w:t>Legal relevance,</w:t>
      </w:r>
    </w:p>
    <w:p w14:paraId="799CF119" w14:textId="52D12F34" w:rsidR="00CB23C2" w:rsidRDefault="00CB23C2" w:rsidP="00CB23C2">
      <w:pPr>
        <w:ind w:left="709"/>
        <w:rPr>
          <w:rFonts w:ascii="Arial" w:hAnsi="Arial" w:cs="Arial"/>
          <w:sz w:val="24"/>
          <w:szCs w:val="24"/>
        </w:rPr>
      </w:pPr>
      <w:r>
        <w:rPr>
          <w:rFonts w:ascii="Arial" w:hAnsi="Arial" w:cs="Arial"/>
          <w:sz w:val="24"/>
          <w:szCs w:val="24"/>
        </w:rPr>
        <w:lastRenderedPageBreak/>
        <w:t>b. Necessity,</w:t>
      </w:r>
    </w:p>
    <w:p w14:paraId="3E0CD121" w14:textId="3C35E829" w:rsidR="00CB23C2" w:rsidRDefault="00CB23C2" w:rsidP="00CB23C2">
      <w:pPr>
        <w:ind w:left="709"/>
        <w:rPr>
          <w:rFonts w:ascii="Arial" w:hAnsi="Arial" w:cs="Arial"/>
          <w:sz w:val="24"/>
          <w:szCs w:val="24"/>
        </w:rPr>
      </w:pPr>
      <w:r>
        <w:rPr>
          <w:rFonts w:ascii="Arial" w:hAnsi="Arial" w:cs="Arial"/>
          <w:sz w:val="24"/>
          <w:szCs w:val="24"/>
        </w:rPr>
        <w:t>c. Reliability, and</w:t>
      </w:r>
    </w:p>
    <w:p w14:paraId="7B1845D5" w14:textId="014DD4F6" w:rsidR="00CB23C2" w:rsidRDefault="00CB23C2" w:rsidP="00CB23C2">
      <w:pPr>
        <w:ind w:left="709"/>
        <w:rPr>
          <w:rFonts w:ascii="Arial" w:hAnsi="Arial" w:cs="Arial"/>
          <w:sz w:val="24"/>
          <w:szCs w:val="24"/>
        </w:rPr>
      </w:pPr>
      <w:r>
        <w:rPr>
          <w:rFonts w:ascii="Arial" w:hAnsi="Arial" w:cs="Arial"/>
          <w:sz w:val="24"/>
          <w:szCs w:val="24"/>
        </w:rPr>
        <w:t>d. Absence of bias.</w:t>
      </w:r>
    </w:p>
    <w:p w14:paraId="21EF8988" w14:textId="7D378386" w:rsidR="00751F75" w:rsidRDefault="00E401FB" w:rsidP="00DF627D">
      <w:pPr>
        <w:ind w:left="709"/>
        <w:rPr>
          <w:rFonts w:ascii="Arial" w:hAnsi="Arial" w:cs="Arial"/>
          <w:sz w:val="24"/>
          <w:szCs w:val="24"/>
        </w:rPr>
      </w:pPr>
      <w:r>
        <w:rPr>
          <w:rFonts w:ascii="Arial" w:hAnsi="Arial" w:cs="Arial"/>
          <w:sz w:val="24"/>
          <w:szCs w:val="24"/>
        </w:rPr>
        <w:t>[49</w:t>
      </w:r>
      <w:proofErr w:type="gramStart"/>
      <w:r>
        <w:rPr>
          <w:rFonts w:ascii="Arial" w:hAnsi="Arial" w:cs="Arial"/>
          <w:sz w:val="24"/>
          <w:szCs w:val="24"/>
        </w:rPr>
        <w:t xml:space="preserve">]  </w:t>
      </w:r>
      <w:r w:rsidR="004732EE">
        <w:rPr>
          <w:rFonts w:ascii="Arial" w:hAnsi="Arial" w:cs="Arial"/>
          <w:sz w:val="24"/>
          <w:szCs w:val="24"/>
        </w:rPr>
        <w:t>In</w:t>
      </w:r>
      <w:proofErr w:type="gramEnd"/>
      <w:r w:rsidR="004732EE">
        <w:rPr>
          <w:rFonts w:ascii="Arial" w:hAnsi="Arial" w:cs="Arial"/>
          <w:sz w:val="24"/>
          <w:szCs w:val="24"/>
        </w:rPr>
        <w:t xml:space="preserve"> short, if the proposed evidence does not meet the threshold requirements for </w:t>
      </w:r>
      <w:r w:rsidR="00DA6B4D">
        <w:rPr>
          <w:rFonts w:ascii="Arial" w:hAnsi="Arial" w:cs="Arial"/>
          <w:sz w:val="24"/>
          <w:szCs w:val="24"/>
        </w:rPr>
        <w:t xml:space="preserve">admissibility, it is excluded.  If it does meet the threshold requirements, </w:t>
      </w:r>
      <w:r w:rsidR="001577D0">
        <w:rPr>
          <w:rFonts w:ascii="Arial" w:hAnsi="Arial" w:cs="Arial"/>
          <w:sz w:val="24"/>
          <w:szCs w:val="24"/>
        </w:rPr>
        <w:t xml:space="preserve">the trial judge then has a gatekeeper function.  </w:t>
      </w:r>
      <w:r w:rsidR="00B23CD9">
        <w:rPr>
          <w:rFonts w:ascii="Arial" w:hAnsi="Arial" w:cs="Arial"/>
          <w:sz w:val="24"/>
          <w:szCs w:val="24"/>
        </w:rPr>
        <w:t xml:space="preserve">The trial judge must be satisfied that the benefits of admitting the evidence </w:t>
      </w:r>
      <w:r w:rsidR="0066165F">
        <w:rPr>
          <w:rFonts w:ascii="Arial" w:hAnsi="Arial" w:cs="Arial"/>
          <w:sz w:val="24"/>
          <w:szCs w:val="24"/>
        </w:rPr>
        <w:t xml:space="preserve">outweigh the costs of its admission.  </w:t>
      </w:r>
      <w:r w:rsidR="0080410C">
        <w:rPr>
          <w:rFonts w:ascii="Arial" w:hAnsi="Arial" w:cs="Arial"/>
          <w:sz w:val="24"/>
          <w:szCs w:val="24"/>
        </w:rPr>
        <w:t>If the trial judge is so satisfied, then the expert evidence may be admitted</w:t>
      </w:r>
      <w:r w:rsidR="000D6232">
        <w:rPr>
          <w:rFonts w:ascii="Arial" w:hAnsi="Arial" w:cs="Arial"/>
          <w:sz w:val="24"/>
          <w:szCs w:val="24"/>
        </w:rPr>
        <w:t>; if the trial judge is not so satisfied the evidence will be excluded</w:t>
      </w:r>
      <w:r w:rsidR="00334643">
        <w:rPr>
          <w:rFonts w:ascii="Arial" w:hAnsi="Arial" w:cs="Arial"/>
          <w:sz w:val="24"/>
          <w:szCs w:val="24"/>
        </w:rPr>
        <w:t>.</w:t>
      </w:r>
    </w:p>
    <w:p w14:paraId="5F5020E2" w14:textId="7643C03E" w:rsidR="00A7788A" w:rsidRDefault="00E2195E" w:rsidP="009D2D88">
      <w:pPr>
        <w:rPr>
          <w:rFonts w:ascii="Arial" w:hAnsi="Arial" w:cs="Arial"/>
          <w:sz w:val="24"/>
          <w:szCs w:val="24"/>
        </w:rPr>
      </w:pPr>
      <w:r>
        <w:rPr>
          <w:rFonts w:ascii="Arial" w:hAnsi="Arial" w:cs="Arial"/>
          <w:sz w:val="24"/>
          <w:szCs w:val="24"/>
        </w:rPr>
        <w:t>The</w:t>
      </w:r>
      <w:r w:rsidR="00053F93">
        <w:rPr>
          <w:rFonts w:ascii="Arial" w:hAnsi="Arial" w:cs="Arial"/>
          <w:sz w:val="24"/>
          <w:szCs w:val="24"/>
        </w:rPr>
        <w:t xml:space="preserve"> court </w:t>
      </w:r>
      <w:r w:rsidR="00DE53EA">
        <w:rPr>
          <w:rFonts w:ascii="Arial" w:hAnsi="Arial" w:cs="Arial"/>
          <w:sz w:val="24"/>
          <w:szCs w:val="24"/>
        </w:rPr>
        <w:t xml:space="preserve">made the following </w:t>
      </w:r>
      <w:r w:rsidR="00BE737D">
        <w:rPr>
          <w:rFonts w:ascii="Arial" w:hAnsi="Arial" w:cs="Arial"/>
          <w:sz w:val="24"/>
          <w:szCs w:val="24"/>
        </w:rPr>
        <w:t xml:space="preserve">important comments about </w:t>
      </w:r>
      <w:r w:rsidR="00A7788A">
        <w:rPr>
          <w:rFonts w:ascii="Arial" w:hAnsi="Arial" w:cs="Arial"/>
          <w:sz w:val="24"/>
          <w:szCs w:val="24"/>
        </w:rPr>
        <w:t xml:space="preserve">how </w:t>
      </w:r>
      <w:r w:rsidR="00066853">
        <w:rPr>
          <w:rFonts w:ascii="Arial" w:hAnsi="Arial" w:cs="Arial"/>
          <w:sz w:val="24"/>
          <w:szCs w:val="24"/>
        </w:rPr>
        <w:t xml:space="preserve">the </w:t>
      </w:r>
      <w:r w:rsidR="00AA2160">
        <w:rPr>
          <w:rFonts w:ascii="Arial" w:hAnsi="Arial" w:cs="Arial"/>
          <w:sz w:val="24"/>
          <w:szCs w:val="24"/>
        </w:rPr>
        <w:t xml:space="preserve">criteria of </w:t>
      </w:r>
      <w:r w:rsidR="00401BCD">
        <w:rPr>
          <w:rFonts w:ascii="Arial" w:hAnsi="Arial" w:cs="Arial"/>
          <w:sz w:val="24"/>
          <w:szCs w:val="24"/>
        </w:rPr>
        <w:t>independence and impartiality fit into the overall test for the admission of expert evidence</w:t>
      </w:r>
      <w:r w:rsidR="00871230">
        <w:rPr>
          <w:rFonts w:ascii="Arial" w:hAnsi="Arial" w:cs="Arial"/>
          <w:sz w:val="24"/>
          <w:szCs w:val="24"/>
        </w:rPr>
        <w:t>:</w:t>
      </w:r>
    </w:p>
    <w:p w14:paraId="42D2E65A" w14:textId="2906B61B" w:rsidR="00A7788A" w:rsidRDefault="00AC573F" w:rsidP="009D2D88">
      <w:pPr>
        <w:pStyle w:val="ListParagraph"/>
        <w:numPr>
          <w:ilvl w:val="0"/>
          <w:numId w:val="22"/>
        </w:numPr>
        <w:rPr>
          <w:rFonts w:ascii="Arial" w:hAnsi="Arial" w:cs="Arial"/>
          <w:sz w:val="24"/>
          <w:szCs w:val="24"/>
        </w:rPr>
      </w:pPr>
      <w:r>
        <w:rPr>
          <w:rFonts w:ascii="Arial" w:hAnsi="Arial" w:cs="Arial"/>
          <w:sz w:val="24"/>
          <w:szCs w:val="24"/>
        </w:rPr>
        <w:t>A</w:t>
      </w:r>
      <w:r w:rsidR="00053F93" w:rsidRPr="00A7788A">
        <w:rPr>
          <w:rFonts w:ascii="Arial" w:hAnsi="Arial" w:cs="Arial"/>
          <w:sz w:val="24"/>
          <w:szCs w:val="24"/>
        </w:rPr>
        <w:t xml:space="preserve"> proposed expert’s independence and impartiality go to admissibility and not </w:t>
      </w:r>
      <w:r w:rsidR="006B52FD" w:rsidRPr="00A7788A">
        <w:rPr>
          <w:rFonts w:ascii="Arial" w:hAnsi="Arial" w:cs="Arial"/>
          <w:sz w:val="24"/>
          <w:szCs w:val="24"/>
        </w:rPr>
        <w:t>simply to weight and there is a thre</w:t>
      </w:r>
      <w:r w:rsidR="008C1FC8" w:rsidRPr="00A7788A">
        <w:rPr>
          <w:rFonts w:ascii="Arial" w:hAnsi="Arial" w:cs="Arial"/>
          <w:sz w:val="24"/>
          <w:szCs w:val="24"/>
        </w:rPr>
        <w:t>shold admissibility requirement in relation to this duty.</w:t>
      </w:r>
      <w:r w:rsidR="001D0D09">
        <w:rPr>
          <w:rStyle w:val="FootnoteReference"/>
          <w:rFonts w:ascii="Arial" w:hAnsi="Arial" w:cs="Arial"/>
          <w:sz w:val="24"/>
          <w:szCs w:val="24"/>
        </w:rPr>
        <w:footnoteReference w:id="42"/>
      </w:r>
      <w:r w:rsidR="00837113" w:rsidRPr="00A7788A">
        <w:rPr>
          <w:rFonts w:ascii="Arial" w:hAnsi="Arial" w:cs="Arial"/>
          <w:sz w:val="24"/>
          <w:szCs w:val="24"/>
        </w:rPr>
        <w:t xml:space="preserve"> </w:t>
      </w:r>
    </w:p>
    <w:p w14:paraId="6CCC3944" w14:textId="77777777" w:rsidR="00AC573F" w:rsidRDefault="00AC573F" w:rsidP="00AC573F">
      <w:pPr>
        <w:pStyle w:val="ListParagraph"/>
        <w:rPr>
          <w:rFonts w:ascii="Arial" w:hAnsi="Arial" w:cs="Arial"/>
          <w:sz w:val="24"/>
          <w:szCs w:val="24"/>
        </w:rPr>
      </w:pPr>
    </w:p>
    <w:p w14:paraId="1F840DCA" w14:textId="2811BA54" w:rsidR="00AC573F" w:rsidRDefault="00DE53EA" w:rsidP="009D2D88">
      <w:pPr>
        <w:pStyle w:val="ListParagraph"/>
        <w:numPr>
          <w:ilvl w:val="0"/>
          <w:numId w:val="22"/>
        </w:numPr>
        <w:rPr>
          <w:rFonts w:ascii="Arial" w:hAnsi="Arial" w:cs="Arial"/>
          <w:sz w:val="24"/>
          <w:szCs w:val="24"/>
        </w:rPr>
      </w:pPr>
      <w:r w:rsidRPr="00A7788A">
        <w:rPr>
          <w:rFonts w:ascii="Arial" w:hAnsi="Arial" w:cs="Arial"/>
          <w:sz w:val="24"/>
          <w:szCs w:val="24"/>
        </w:rPr>
        <w:t>This</w:t>
      </w:r>
      <w:r w:rsidR="00CC3E7A" w:rsidRPr="00A7788A">
        <w:rPr>
          <w:rFonts w:ascii="Arial" w:hAnsi="Arial" w:cs="Arial"/>
          <w:sz w:val="24"/>
          <w:szCs w:val="24"/>
        </w:rPr>
        <w:t xml:space="preserve"> threshold requirement is not particularly </w:t>
      </w:r>
      <w:proofErr w:type="gramStart"/>
      <w:r w:rsidR="00CC3E7A" w:rsidRPr="00A7788A">
        <w:rPr>
          <w:rFonts w:ascii="Arial" w:hAnsi="Arial" w:cs="Arial"/>
          <w:sz w:val="24"/>
          <w:szCs w:val="24"/>
        </w:rPr>
        <w:t>onerous</w:t>
      </w:r>
      <w:proofErr w:type="gramEnd"/>
      <w:r w:rsidR="00CC3E7A" w:rsidRPr="00A7788A">
        <w:rPr>
          <w:rFonts w:ascii="Arial" w:hAnsi="Arial" w:cs="Arial"/>
          <w:sz w:val="24"/>
          <w:szCs w:val="24"/>
        </w:rPr>
        <w:t xml:space="preserve"> and it will likely be quite rare that a proposed expert’s evidence would be ruled inadmissible for failing to meet it</w:t>
      </w:r>
      <w:r w:rsidR="0009535E" w:rsidRPr="00A7788A">
        <w:rPr>
          <w:rFonts w:ascii="Arial" w:hAnsi="Arial" w:cs="Arial"/>
          <w:sz w:val="24"/>
          <w:szCs w:val="24"/>
        </w:rPr>
        <w:t>”.</w:t>
      </w:r>
      <w:r w:rsidR="0009535E">
        <w:rPr>
          <w:rStyle w:val="FootnoteReference"/>
          <w:rFonts w:ascii="Arial" w:hAnsi="Arial" w:cs="Arial"/>
          <w:sz w:val="24"/>
          <w:szCs w:val="24"/>
        </w:rPr>
        <w:footnoteReference w:id="43"/>
      </w:r>
      <w:r w:rsidR="009222FA" w:rsidRPr="00A7788A">
        <w:rPr>
          <w:rFonts w:ascii="Arial" w:hAnsi="Arial" w:cs="Arial"/>
          <w:sz w:val="24"/>
          <w:szCs w:val="24"/>
        </w:rPr>
        <w:t xml:space="preserve">  </w:t>
      </w:r>
    </w:p>
    <w:p w14:paraId="4B25E7FB" w14:textId="77777777" w:rsidR="00AC573F" w:rsidRDefault="00AC573F" w:rsidP="00AC573F">
      <w:pPr>
        <w:pStyle w:val="ListParagraph"/>
        <w:rPr>
          <w:rFonts w:ascii="Arial" w:hAnsi="Arial" w:cs="Arial"/>
          <w:sz w:val="24"/>
          <w:szCs w:val="24"/>
        </w:rPr>
      </w:pPr>
    </w:p>
    <w:p w14:paraId="55BDABBB" w14:textId="4E7CFBCF" w:rsidR="009D2D88" w:rsidRPr="00AC573F" w:rsidRDefault="00AC573F" w:rsidP="009D2D88">
      <w:pPr>
        <w:pStyle w:val="ListParagraph"/>
        <w:numPr>
          <w:ilvl w:val="0"/>
          <w:numId w:val="22"/>
        </w:numPr>
        <w:rPr>
          <w:rFonts w:ascii="Arial" w:hAnsi="Arial" w:cs="Arial"/>
          <w:sz w:val="24"/>
          <w:szCs w:val="24"/>
        </w:rPr>
      </w:pPr>
      <w:r>
        <w:rPr>
          <w:rFonts w:ascii="Arial" w:hAnsi="Arial" w:cs="Arial"/>
          <w:sz w:val="24"/>
          <w:szCs w:val="24"/>
        </w:rPr>
        <w:t>A</w:t>
      </w:r>
      <w:r w:rsidR="009222FA" w:rsidRPr="00AC573F">
        <w:rPr>
          <w:rFonts w:ascii="Arial" w:hAnsi="Arial" w:cs="Arial"/>
          <w:sz w:val="24"/>
          <w:szCs w:val="24"/>
        </w:rPr>
        <w:t xml:space="preserve">nything less than </w:t>
      </w:r>
      <w:r w:rsidR="008C04FE" w:rsidRPr="00AC573F">
        <w:rPr>
          <w:rFonts w:ascii="Arial" w:hAnsi="Arial" w:cs="Arial"/>
          <w:sz w:val="24"/>
          <w:szCs w:val="24"/>
        </w:rPr>
        <w:t>clear unwillingness or inability</w:t>
      </w:r>
      <w:r w:rsidR="00E042B6" w:rsidRPr="00AC573F">
        <w:rPr>
          <w:rFonts w:ascii="Arial" w:hAnsi="Arial" w:cs="Arial"/>
          <w:sz w:val="24"/>
          <w:szCs w:val="24"/>
        </w:rPr>
        <w:t>”</w:t>
      </w:r>
      <w:r w:rsidR="008C04FE" w:rsidRPr="00AC573F">
        <w:rPr>
          <w:rFonts w:ascii="Arial" w:hAnsi="Arial" w:cs="Arial"/>
          <w:sz w:val="24"/>
          <w:szCs w:val="24"/>
        </w:rPr>
        <w:t xml:space="preserve"> </w:t>
      </w:r>
      <w:r w:rsidR="00E042B6" w:rsidRPr="00AC573F">
        <w:rPr>
          <w:rFonts w:ascii="Arial" w:hAnsi="Arial" w:cs="Arial"/>
          <w:sz w:val="24"/>
          <w:szCs w:val="24"/>
        </w:rPr>
        <w:t>to provide the court with fair, objective and non-partisan evidence</w:t>
      </w:r>
      <w:r w:rsidR="002E4F6A" w:rsidRPr="00AC573F">
        <w:rPr>
          <w:rFonts w:ascii="Arial" w:hAnsi="Arial" w:cs="Arial"/>
          <w:sz w:val="24"/>
          <w:szCs w:val="24"/>
        </w:rPr>
        <w:t xml:space="preserve"> should not lead to exclusion, but be </w:t>
      </w:r>
      <w:proofErr w:type="gramStart"/>
      <w:r w:rsidR="002E4F6A" w:rsidRPr="00AC573F">
        <w:rPr>
          <w:rFonts w:ascii="Arial" w:hAnsi="Arial" w:cs="Arial"/>
          <w:sz w:val="24"/>
          <w:szCs w:val="24"/>
        </w:rPr>
        <w:t>taken</w:t>
      </w:r>
      <w:r w:rsidR="00E4039B" w:rsidRPr="00AC573F">
        <w:rPr>
          <w:rFonts w:ascii="Arial" w:hAnsi="Arial" w:cs="Arial"/>
          <w:sz w:val="24"/>
          <w:szCs w:val="24"/>
        </w:rPr>
        <w:t xml:space="preserve"> into account</w:t>
      </w:r>
      <w:proofErr w:type="gramEnd"/>
      <w:r w:rsidR="00E4039B" w:rsidRPr="00AC573F">
        <w:rPr>
          <w:rFonts w:ascii="Arial" w:hAnsi="Arial" w:cs="Arial"/>
          <w:sz w:val="24"/>
          <w:szCs w:val="24"/>
        </w:rPr>
        <w:t xml:space="preserve"> in the overall weighing of the costs and benefits of receiving the evidence.</w:t>
      </w:r>
      <w:r w:rsidR="00801560">
        <w:rPr>
          <w:rStyle w:val="FootnoteReference"/>
          <w:rFonts w:ascii="Arial" w:hAnsi="Arial" w:cs="Arial"/>
          <w:sz w:val="24"/>
          <w:szCs w:val="24"/>
        </w:rPr>
        <w:footnoteReference w:id="44"/>
      </w:r>
    </w:p>
    <w:p w14:paraId="640F6939" w14:textId="49ADC209" w:rsidR="00D25CB0" w:rsidRPr="00276308" w:rsidRDefault="00D25CB0" w:rsidP="00D25CB0">
      <w:pPr>
        <w:rPr>
          <w:rFonts w:ascii="Arial" w:hAnsi="Arial" w:cs="Arial"/>
          <w:sz w:val="24"/>
          <w:szCs w:val="24"/>
        </w:rPr>
      </w:pPr>
      <w:r w:rsidRPr="00276308">
        <w:rPr>
          <w:rFonts w:ascii="Arial" w:hAnsi="Arial" w:cs="Arial"/>
          <w:sz w:val="24"/>
          <w:szCs w:val="24"/>
        </w:rPr>
        <w:t xml:space="preserve">In </w:t>
      </w:r>
      <w:r w:rsidRPr="00276308">
        <w:rPr>
          <w:rFonts w:ascii="Arial" w:hAnsi="Arial" w:cs="Arial"/>
          <w:i/>
          <w:sz w:val="24"/>
          <w:szCs w:val="24"/>
        </w:rPr>
        <w:t>R. v. K.A</w:t>
      </w:r>
      <w:r w:rsidRPr="00276308">
        <w:rPr>
          <w:rFonts w:ascii="Arial" w:hAnsi="Arial" w:cs="Arial"/>
          <w:sz w:val="24"/>
          <w:szCs w:val="24"/>
        </w:rPr>
        <w:t>., the Ontario Court of Appeal set out some helpful principles for the court to consider on the question of necessity</w:t>
      </w:r>
      <w:r w:rsidR="00465076">
        <w:rPr>
          <w:rFonts w:ascii="Arial" w:hAnsi="Arial" w:cs="Arial"/>
          <w:sz w:val="24"/>
          <w:szCs w:val="24"/>
        </w:rPr>
        <w:t xml:space="preserve"> of the proposed expert opinion evidence</w:t>
      </w:r>
      <w:r w:rsidRPr="00276308">
        <w:rPr>
          <w:rFonts w:ascii="Arial" w:hAnsi="Arial" w:cs="Arial"/>
          <w:sz w:val="24"/>
          <w:szCs w:val="24"/>
        </w:rPr>
        <w:t>:</w:t>
      </w:r>
      <w:r>
        <w:rPr>
          <w:rStyle w:val="FootnoteReference"/>
          <w:rFonts w:ascii="Arial" w:hAnsi="Arial" w:cs="Arial"/>
          <w:sz w:val="24"/>
          <w:szCs w:val="24"/>
        </w:rPr>
        <w:footnoteReference w:id="45"/>
      </w:r>
    </w:p>
    <w:p w14:paraId="3E4493D0" w14:textId="77777777" w:rsidR="00D25CB0" w:rsidRDefault="00D25CB0" w:rsidP="004E3E8C">
      <w:pPr>
        <w:pStyle w:val="ListParagraph"/>
        <w:numPr>
          <w:ilvl w:val="0"/>
          <w:numId w:val="15"/>
        </w:numPr>
        <w:spacing w:after="0" w:line="240" w:lineRule="auto"/>
        <w:rPr>
          <w:rFonts w:ascii="Arial" w:hAnsi="Arial" w:cs="Arial"/>
          <w:sz w:val="24"/>
          <w:szCs w:val="24"/>
        </w:rPr>
      </w:pPr>
      <w:r w:rsidRPr="00276308">
        <w:rPr>
          <w:rFonts w:ascii="Arial" w:hAnsi="Arial" w:cs="Arial"/>
          <w:sz w:val="24"/>
          <w:szCs w:val="24"/>
        </w:rPr>
        <w:t>Will the evidence allow the court to appreciate the technicalities of a matter in issue?</w:t>
      </w:r>
    </w:p>
    <w:p w14:paraId="67E75FD0" w14:textId="77777777" w:rsidR="00D25CB0" w:rsidRPr="00276308" w:rsidRDefault="00D25CB0" w:rsidP="004E3E8C">
      <w:pPr>
        <w:pStyle w:val="ListParagraph"/>
        <w:spacing w:after="0" w:line="240" w:lineRule="auto"/>
        <w:rPr>
          <w:rFonts w:ascii="Arial" w:hAnsi="Arial" w:cs="Arial"/>
          <w:sz w:val="24"/>
          <w:szCs w:val="24"/>
        </w:rPr>
      </w:pPr>
    </w:p>
    <w:p w14:paraId="325392D1" w14:textId="77777777" w:rsidR="00D25CB0" w:rsidRDefault="00D25CB0" w:rsidP="004E3E8C">
      <w:pPr>
        <w:pStyle w:val="ListParagraph"/>
        <w:numPr>
          <w:ilvl w:val="0"/>
          <w:numId w:val="15"/>
        </w:numPr>
        <w:spacing w:after="0" w:line="240" w:lineRule="auto"/>
        <w:rPr>
          <w:rFonts w:ascii="Arial" w:hAnsi="Arial" w:cs="Arial"/>
          <w:sz w:val="24"/>
          <w:szCs w:val="24"/>
        </w:rPr>
      </w:pPr>
      <w:r w:rsidRPr="00276308">
        <w:rPr>
          <w:rFonts w:ascii="Arial" w:hAnsi="Arial" w:cs="Arial"/>
          <w:sz w:val="24"/>
          <w:szCs w:val="24"/>
        </w:rPr>
        <w:t>Will the evidence provide information likely to be outside the experience of the judge?</w:t>
      </w:r>
    </w:p>
    <w:p w14:paraId="4B34371D" w14:textId="77777777" w:rsidR="00D25CB0" w:rsidRPr="00276308" w:rsidRDefault="00D25CB0" w:rsidP="004E3E8C">
      <w:pPr>
        <w:pStyle w:val="ListParagraph"/>
        <w:spacing w:after="0" w:line="240" w:lineRule="auto"/>
        <w:rPr>
          <w:rFonts w:ascii="Arial" w:hAnsi="Arial" w:cs="Arial"/>
          <w:sz w:val="24"/>
          <w:szCs w:val="24"/>
        </w:rPr>
      </w:pPr>
    </w:p>
    <w:p w14:paraId="2D332F8C" w14:textId="77777777" w:rsidR="00D25CB0" w:rsidRDefault="00D25CB0" w:rsidP="004E3E8C">
      <w:pPr>
        <w:pStyle w:val="ListParagraph"/>
        <w:numPr>
          <w:ilvl w:val="0"/>
          <w:numId w:val="15"/>
        </w:numPr>
        <w:spacing w:after="0" w:line="240" w:lineRule="auto"/>
        <w:rPr>
          <w:rFonts w:ascii="Arial" w:hAnsi="Arial" w:cs="Arial"/>
          <w:sz w:val="24"/>
          <w:szCs w:val="24"/>
        </w:rPr>
      </w:pPr>
      <w:r w:rsidRPr="00276308">
        <w:rPr>
          <w:rFonts w:ascii="Arial" w:hAnsi="Arial" w:cs="Arial"/>
          <w:sz w:val="24"/>
          <w:szCs w:val="24"/>
        </w:rPr>
        <w:t>Is the judge unlikely to form a correct judgment about a matter in issue if unassisted by the evidence?</w:t>
      </w:r>
    </w:p>
    <w:p w14:paraId="1FB3E9CC" w14:textId="77777777" w:rsidR="00D25CB0" w:rsidRPr="00276308" w:rsidRDefault="00D25CB0" w:rsidP="004E3E8C">
      <w:pPr>
        <w:pStyle w:val="ListParagraph"/>
        <w:spacing w:after="0" w:line="240" w:lineRule="auto"/>
        <w:rPr>
          <w:rFonts w:ascii="Arial" w:hAnsi="Arial" w:cs="Arial"/>
          <w:sz w:val="24"/>
          <w:szCs w:val="24"/>
        </w:rPr>
      </w:pPr>
    </w:p>
    <w:p w14:paraId="541D0C14" w14:textId="77777777" w:rsidR="00D25CB0" w:rsidRDefault="00D25CB0" w:rsidP="004E3E8C">
      <w:pPr>
        <w:pStyle w:val="ListParagraph"/>
        <w:numPr>
          <w:ilvl w:val="0"/>
          <w:numId w:val="15"/>
        </w:numPr>
        <w:spacing w:after="0" w:line="240" w:lineRule="auto"/>
        <w:rPr>
          <w:rFonts w:ascii="Arial" w:hAnsi="Arial" w:cs="Arial"/>
          <w:sz w:val="24"/>
          <w:szCs w:val="24"/>
        </w:rPr>
      </w:pPr>
      <w:r w:rsidRPr="00276308">
        <w:rPr>
          <w:rFonts w:ascii="Arial" w:hAnsi="Arial" w:cs="Arial"/>
          <w:sz w:val="24"/>
          <w:szCs w:val="24"/>
        </w:rPr>
        <w:lastRenderedPageBreak/>
        <w:t>What is the complexity of the evidence?  Is it easily understood or likely to confuse?</w:t>
      </w:r>
    </w:p>
    <w:p w14:paraId="7965345A" w14:textId="77777777" w:rsidR="00D25CB0" w:rsidRPr="00276308" w:rsidRDefault="00D25CB0" w:rsidP="004E3E8C">
      <w:pPr>
        <w:pStyle w:val="ListParagraph"/>
        <w:spacing w:after="0" w:line="240" w:lineRule="auto"/>
        <w:rPr>
          <w:rFonts w:ascii="Arial" w:hAnsi="Arial" w:cs="Arial"/>
          <w:sz w:val="24"/>
          <w:szCs w:val="24"/>
        </w:rPr>
      </w:pPr>
    </w:p>
    <w:p w14:paraId="3A965FC6" w14:textId="77777777" w:rsidR="00D25CB0" w:rsidRDefault="00D25CB0" w:rsidP="004E3E8C">
      <w:pPr>
        <w:pStyle w:val="ListParagraph"/>
        <w:numPr>
          <w:ilvl w:val="0"/>
          <w:numId w:val="15"/>
        </w:numPr>
        <w:spacing w:after="0" w:line="240" w:lineRule="auto"/>
        <w:rPr>
          <w:rFonts w:ascii="Arial" w:hAnsi="Arial" w:cs="Arial"/>
          <w:sz w:val="24"/>
          <w:szCs w:val="24"/>
        </w:rPr>
      </w:pPr>
      <w:r w:rsidRPr="00276308">
        <w:rPr>
          <w:rFonts w:ascii="Arial" w:hAnsi="Arial" w:cs="Arial"/>
          <w:sz w:val="24"/>
          <w:szCs w:val="24"/>
        </w:rPr>
        <w:t>To what extent is other evidence available to assist in determining the issue?</w:t>
      </w:r>
    </w:p>
    <w:p w14:paraId="35E50B2B" w14:textId="77777777" w:rsidR="00D25CB0" w:rsidRPr="00276308" w:rsidRDefault="00D25CB0" w:rsidP="004E3E8C">
      <w:pPr>
        <w:pStyle w:val="ListParagraph"/>
        <w:spacing w:after="0" w:line="240" w:lineRule="auto"/>
        <w:rPr>
          <w:rFonts w:ascii="Arial" w:hAnsi="Arial" w:cs="Arial"/>
          <w:sz w:val="24"/>
          <w:szCs w:val="24"/>
        </w:rPr>
      </w:pPr>
    </w:p>
    <w:p w14:paraId="2EEA3B1A" w14:textId="77777777" w:rsidR="00D25CB0" w:rsidRDefault="00D25CB0" w:rsidP="004E3E8C">
      <w:pPr>
        <w:pStyle w:val="ListParagraph"/>
        <w:numPr>
          <w:ilvl w:val="0"/>
          <w:numId w:val="15"/>
        </w:numPr>
        <w:spacing w:after="0" w:line="240" w:lineRule="auto"/>
        <w:rPr>
          <w:rFonts w:ascii="Arial" w:hAnsi="Arial" w:cs="Arial"/>
          <w:sz w:val="24"/>
          <w:szCs w:val="24"/>
        </w:rPr>
      </w:pPr>
      <w:r w:rsidRPr="00276308">
        <w:rPr>
          <w:rFonts w:ascii="Arial" w:hAnsi="Arial" w:cs="Arial"/>
          <w:sz w:val="24"/>
          <w:szCs w:val="24"/>
        </w:rPr>
        <w:t>Is the need for the evidence sufficient to overcome its potential prejudicial effect?</w:t>
      </w:r>
    </w:p>
    <w:p w14:paraId="7A5CBADF" w14:textId="77777777" w:rsidR="00D9566F" w:rsidRDefault="00D9566F" w:rsidP="006335E3">
      <w:pPr>
        <w:pStyle w:val="doubleindent-quote"/>
        <w:spacing w:before="120" w:beforeAutospacing="0" w:after="240" w:afterAutospacing="0"/>
        <w:ind w:right="-23"/>
        <w:rPr>
          <w:rFonts w:ascii="Arial" w:hAnsi="Arial" w:cs="Arial"/>
          <w:b/>
          <w:bCs/>
          <w:color w:val="000000"/>
        </w:rPr>
      </w:pPr>
    </w:p>
    <w:p w14:paraId="682E120D" w14:textId="2E0113AE" w:rsidR="00A20505" w:rsidRPr="0083004E" w:rsidRDefault="0083004E" w:rsidP="006335E3">
      <w:pPr>
        <w:pStyle w:val="doubleindent-quote"/>
        <w:spacing w:before="120" w:beforeAutospacing="0" w:after="240" w:afterAutospacing="0"/>
        <w:ind w:right="-23"/>
        <w:rPr>
          <w:rFonts w:ascii="Arial" w:hAnsi="Arial" w:cs="Arial"/>
          <w:b/>
          <w:bCs/>
          <w:color w:val="000000"/>
        </w:rPr>
      </w:pPr>
      <w:r w:rsidRPr="0083004E">
        <w:rPr>
          <w:rFonts w:ascii="Arial" w:hAnsi="Arial" w:cs="Arial"/>
          <w:b/>
          <w:bCs/>
          <w:color w:val="000000"/>
        </w:rPr>
        <w:t>Are Parenting Capacity Opinions Based on Science?</w:t>
      </w:r>
    </w:p>
    <w:p w14:paraId="774F3C03" w14:textId="4C05FEC3" w:rsidR="00CA5AE1" w:rsidRDefault="0087663B" w:rsidP="006335E3">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The opinions expressed by parenting </w:t>
      </w:r>
      <w:r w:rsidR="002A506A">
        <w:rPr>
          <w:rFonts w:ascii="Arial" w:hAnsi="Arial" w:cs="Arial"/>
          <w:color w:val="000000"/>
        </w:rPr>
        <w:t xml:space="preserve">capacity assessors </w:t>
      </w:r>
      <w:r w:rsidR="005B6C18">
        <w:rPr>
          <w:rFonts w:ascii="Arial" w:hAnsi="Arial" w:cs="Arial"/>
          <w:color w:val="000000"/>
        </w:rPr>
        <w:t xml:space="preserve">simply cannot be scientifically validated.  </w:t>
      </w:r>
      <w:r w:rsidR="000E73AB">
        <w:rPr>
          <w:rFonts w:ascii="Arial" w:hAnsi="Arial" w:cs="Arial"/>
          <w:color w:val="000000"/>
        </w:rPr>
        <w:t xml:space="preserve">In </w:t>
      </w:r>
      <w:r w:rsidR="000E73AB" w:rsidRPr="005D4F77">
        <w:rPr>
          <w:rFonts w:ascii="Arial" w:hAnsi="Arial" w:cs="Arial"/>
          <w:i/>
          <w:iCs/>
          <w:color w:val="000000"/>
        </w:rPr>
        <w:t>R. v. Abbey</w:t>
      </w:r>
      <w:r w:rsidR="00B71216">
        <w:rPr>
          <w:rFonts w:ascii="Arial" w:hAnsi="Arial" w:cs="Arial"/>
          <w:color w:val="000000"/>
        </w:rPr>
        <w:t xml:space="preserve"> #1, the </w:t>
      </w:r>
      <w:r w:rsidR="008B3342">
        <w:rPr>
          <w:rFonts w:ascii="Arial" w:hAnsi="Arial" w:cs="Arial"/>
          <w:color w:val="000000"/>
        </w:rPr>
        <w:t xml:space="preserve">Ontario Court of Appeal </w:t>
      </w:r>
      <w:r w:rsidR="00B71216">
        <w:rPr>
          <w:rFonts w:ascii="Arial" w:hAnsi="Arial" w:cs="Arial"/>
          <w:color w:val="000000"/>
        </w:rPr>
        <w:t>reviewed that there are different types of expert evidence</w:t>
      </w:r>
      <w:r w:rsidR="00D94A13">
        <w:rPr>
          <w:rFonts w:ascii="Arial" w:hAnsi="Arial" w:cs="Arial"/>
          <w:color w:val="000000"/>
        </w:rPr>
        <w:t xml:space="preserve"> and that not all expertise is grounded in the scientific method</w:t>
      </w:r>
      <w:r w:rsidR="00B71216">
        <w:rPr>
          <w:rFonts w:ascii="Arial" w:hAnsi="Arial" w:cs="Arial"/>
          <w:color w:val="000000"/>
        </w:rPr>
        <w:t xml:space="preserve">. </w:t>
      </w:r>
      <w:r w:rsidR="00CA5AE1">
        <w:rPr>
          <w:rFonts w:ascii="Arial" w:hAnsi="Arial" w:cs="Arial"/>
          <w:color w:val="000000"/>
        </w:rPr>
        <w:t xml:space="preserve"> The court stated as follows</w:t>
      </w:r>
      <w:r w:rsidR="000365C5">
        <w:rPr>
          <w:rFonts w:ascii="Arial" w:hAnsi="Arial" w:cs="Arial"/>
          <w:color w:val="000000"/>
        </w:rPr>
        <w:t>:</w:t>
      </w:r>
      <w:r w:rsidR="000365C5">
        <w:rPr>
          <w:rStyle w:val="FootnoteReference"/>
          <w:rFonts w:ascii="Arial" w:hAnsi="Arial" w:cs="Arial"/>
          <w:color w:val="000000"/>
        </w:rPr>
        <w:footnoteReference w:id="46"/>
      </w:r>
      <w:r w:rsidR="00B71216">
        <w:rPr>
          <w:rFonts w:ascii="Arial" w:hAnsi="Arial" w:cs="Arial"/>
          <w:color w:val="000000"/>
        </w:rPr>
        <w:t xml:space="preserve"> </w:t>
      </w:r>
    </w:p>
    <w:p w14:paraId="5AEE7BB0" w14:textId="6BCC5565" w:rsidR="00CA5AE1" w:rsidRPr="00CA5AE1" w:rsidRDefault="00CA5AE1" w:rsidP="00CA5AE1">
      <w:pPr>
        <w:pStyle w:val="doubleindent-quote"/>
        <w:spacing w:before="120" w:beforeAutospacing="0" w:after="240" w:afterAutospacing="0"/>
        <w:ind w:left="720" w:right="-23"/>
        <w:rPr>
          <w:rFonts w:ascii="Arial" w:hAnsi="Arial" w:cs="Arial"/>
          <w:color w:val="000000"/>
        </w:rPr>
      </w:pPr>
      <w:r w:rsidRPr="00CA5AE1">
        <w:rPr>
          <w:rFonts w:ascii="Arial" w:hAnsi="Arial" w:cs="Arial"/>
        </w:rPr>
        <w:t xml:space="preserve">[109] Scientific validity is not a condition precedent to the admissibility of expert opinion evidence. Most expert evidence routinely heard and acted upon in the courts cannot be scientifically validated. For example, psychiatrists testify to the existence of various mental states, doctors testify as to the cause of an injury or death, accident </w:t>
      </w:r>
      <w:proofErr w:type="spellStart"/>
      <w:r w:rsidRPr="00CA5AE1">
        <w:rPr>
          <w:rFonts w:ascii="Arial" w:hAnsi="Arial" w:cs="Arial"/>
        </w:rPr>
        <w:t>reconstructionists</w:t>
      </w:r>
      <w:proofErr w:type="spellEnd"/>
      <w:r w:rsidRPr="00CA5AE1">
        <w:rPr>
          <w:rFonts w:ascii="Arial" w:hAnsi="Arial" w:cs="Arial"/>
        </w:rPr>
        <w:t xml:space="preserve"> testify to the location or cause of an accident, economists or rehabilitation specialists testify to future employment 2009 ONCA 624 (CanLII) prospects and future care costs, fire marshals testify about the cause of a fire, professionals from a wide variety of fields testify as to the operative standard of care in their profession or the cause of a particular event. Like Dr. Totten, these experts do not support their opinions by reference to error rates, random </w:t>
      </w:r>
      <w:proofErr w:type="gramStart"/>
      <w:r w:rsidRPr="00CA5AE1">
        <w:rPr>
          <w:rFonts w:ascii="Arial" w:hAnsi="Arial" w:cs="Arial"/>
        </w:rPr>
        <w:t>samplings</w:t>
      </w:r>
      <w:proofErr w:type="gramEnd"/>
      <w:r w:rsidRPr="00CA5AE1">
        <w:rPr>
          <w:rFonts w:ascii="Arial" w:hAnsi="Arial" w:cs="Arial"/>
        </w:rPr>
        <w:t xml:space="preserve"> or the replication of test results. Rather, they refer to specialized knowledge gained through experience and specialized training in the relevant field. To test the reliability of the opinion of these experts and Dr. Totten using reliability factors referable to scientific validity is to attempt to place the proverbial square peg into the round hole.</w:t>
      </w:r>
    </w:p>
    <w:p w14:paraId="27AF3A8C" w14:textId="38679F4E" w:rsidR="00121761" w:rsidRDefault="009609A9" w:rsidP="006335E3">
      <w:pPr>
        <w:pStyle w:val="doubleindent-quote"/>
        <w:spacing w:before="120" w:beforeAutospacing="0" w:after="240" w:afterAutospacing="0"/>
        <w:ind w:right="-23"/>
        <w:rPr>
          <w:rFonts w:ascii="Arial" w:hAnsi="Arial" w:cs="Arial"/>
          <w:color w:val="000000"/>
        </w:rPr>
      </w:pPr>
      <w:r>
        <w:rPr>
          <w:rFonts w:ascii="Arial" w:hAnsi="Arial" w:cs="Arial"/>
          <w:color w:val="000000"/>
        </w:rPr>
        <w:t>On this same point, t</w:t>
      </w:r>
      <w:r w:rsidR="00B2137A">
        <w:rPr>
          <w:rFonts w:ascii="Arial" w:hAnsi="Arial" w:cs="Arial"/>
          <w:color w:val="000000"/>
        </w:rPr>
        <w:t xml:space="preserve">he court </w:t>
      </w:r>
      <w:r w:rsidR="00443EC6">
        <w:rPr>
          <w:rFonts w:ascii="Arial" w:hAnsi="Arial" w:cs="Arial"/>
          <w:color w:val="000000"/>
        </w:rPr>
        <w:t xml:space="preserve">quoted Professor </w:t>
      </w:r>
      <w:proofErr w:type="spellStart"/>
      <w:r w:rsidR="00EA503F">
        <w:rPr>
          <w:rFonts w:ascii="Arial" w:hAnsi="Arial" w:cs="Arial"/>
          <w:color w:val="000000"/>
        </w:rPr>
        <w:t>Paciocco</w:t>
      </w:r>
      <w:proofErr w:type="spellEnd"/>
      <w:r w:rsidR="006803E3">
        <w:rPr>
          <w:rFonts w:ascii="Arial" w:hAnsi="Arial" w:cs="Arial"/>
          <w:color w:val="000000"/>
        </w:rPr>
        <w:t xml:space="preserve"> at paragraph </w:t>
      </w:r>
      <w:r w:rsidR="00834092">
        <w:rPr>
          <w:rFonts w:ascii="Arial" w:hAnsi="Arial" w:cs="Arial"/>
          <w:color w:val="000000"/>
        </w:rPr>
        <w:t>114 as follows:</w:t>
      </w:r>
      <w:r w:rsidR="0097065F">
        <w:rPr>
          <w:rStyle w:val="FootnoteReference"/>
          <w:rFonts w:ascii="Arial" w:hAnsi="Arial" w:cs="Arial"/>
          <w:color w:val="000000"/>
        </w:rPr>
        <w:footnoteReference w:id="47"/>
      </w:r>
    </w:p>
    <w:p w14:paraId="33E444FC" w14:textId="03E07634" w:rsidR="00834092" w:rsidRDefault="00C67C0C" w:rsidP="00834092">
      <w:pPr>
        <w:pStyle w:val="doubleindent-quote"/>
        <w:spacing w:before="120" w:beforeAutospacing="0" w:after="240" w:afterAutospacing="0"/>
        <w:ind w:left="720" w:right="-23"/>
        <w:rPr>
          <w:rFonts w:ascii="Arial" w:hAnsi="Arial" w:cs="Arial"/>
        </w:rPr>
      </w:pPr>
      <w:r>
        <w:rPr>
          <w:rFonts w:ascii="Arial" w:hAnsi="Arial" w:cs="Arial"/>
        </w:rPr>
        <w:t xml:space="preserve">[114] </w:t>
      </w:r>
      <w:r w:rsidR="002862A3" w:rsidRPr="002862A3">
        <w:rPr>
          <w:rFonts w:ascii="Arial" w:hAnsi="Arial" w:cs="Arial"/>
        </w:rPr>
        <w:t>Clearly it is inappropriate to consider all expertise as science, or to require all expertise to attain the scientific method. Some expert witnesses rely on science only in a loose sense. Actuaries apply probability theory and mathematics to produce decidedly unscientific results. Appraisers make subjective assessments of objective data, as do family assessment experts. Professionals testifying to standards of care within their profession are doing nothing scientific.</w:t>
      </w:r>
    </w:p>
    <w:p w14:paraId="2D3FD6D3" w14:textId="5738F605" w:rsidR="00C26023" w:rsidRDefault="00C26023" w:rsidP="00C26023">
      <w:pPr>
        <w:pStyle w:val="doubleindent-quote"/>
        <w:spacing w:before="120" w:beforeAutospacing="0" w:after="240" w:afterAutospacing="0"/>
        <w:ind w:right="-23"/>
        <w:rPr>
          <w:rFonts w:ascii="Arial" w:hAnsi="Arial" w:cs="Arial"/>
        </w:rPr>
      </w:pPr>
      <w:r>
        <w:rPr>
          <w:rFonts w:ascii="Arial" w:hAnsi="Arial" w:cs="Arial"/>
        </w:rPr>
        <w:t>The court then expanded on th</w:t>
      </w:r>
      <w:r w:rsidR="009609A9">
        <w:rPr>
          <w:rFonts w:ascii="Arial" w:hAnsi="Arial" w:cs="Arial"/>
        </w:rPr>
        <w:t xml:space="preserve">is </w:t>
      </w:r>
      <w:r>
        <w:rPr>
          <w:rFonts w:ascii="Arial" w:hAnsi="Arial" w:cs="Arial"/>
        </w:rPr>
        <w:t xml:space="preserve">point with reference to the </w:t>
      </w:r>
      <w:proofErr w:type="spellStart"/>
      <w:r w:rsidRPr="00A4705F">
        <w:rPr>
          <w:rFonts w:ascii="Arial" w:hAnsi="Arial" w:cs="Arial"/>
          <w:i/>
          <w:iCs/>
        </w:rPr>
        <w:t>Goudge</w:t>
      </w:r>
      <w:proofErr w:type="spellEnd"/>
      <w:r w:rsidRPr="00A4705F">
        <w:rPr>
          <w:rFonts w:ascii="Arial" w:hAnsi="Arial" w:cs="Arial"/>
          <w:i/>
          <w:iCs/>
        </w:rPr>
        <w:t xml:space="preserve"> Report</w:t>
      </w:r>
      <w:r w:rsidR="00A4705F">
        <w:rPr>
          <w:rFonts w:ascii="Arial" w:hAnsi="Arial" w:cs="Arial"/>
        </w:rPr>
        <w:t>:</w:t>
      </w:r>
      <w:r w:rsidR="00846849">
        <w:rPr>
          <w:rStyle w:val="FootnoteReference"/>
          <w:rFonts w:ascii="Arial" w:hAnsi="Arial" w:cs="Arial"/>
        </w:rPr>
        <w:footnoteReference w:id="48"/>
      </w:r>
    </w:p>
    <w:p w14:paraId="2F78674A" w14:textId="69858AF1" w:rsidR="00A4705F" w:rsidRPr="00C67C0C" w:rsidRDefault="00C67C0C" w:rsidP="00A4705F">
      <w:pPr>
        <w:pStyle w:val="doubleindent-quote"/>
        <w:spacing w:before="120" w:beforeAutospacing="0" w:after="240" w:afterAutospacing="0"/>
        <w:ind w:left="720" w:right="-23"/>
        <w:rPr>
          <w:rFonts w:ascii="Arial" w:hAnsi="Arial" w:cs="Arial"/>
          <w:color w:val="000000"/>
        </w:rPr>
      </w:pPr>
      <w:r w:rsidRPr="00C67C0C">
        <w:rPr>
          <w:rFonts w:ascii="Arial" w:hAnsi="Arial" w:cs="Arial"/>
        </w:rPr>
        <w:lastRenderedPageBreak/>
        <w:t xml:space="preserve">[115] Commissioner </w:t>
      </w:r>
      <w:proofErr w:type="spellStart"/>
      <w:r w:rsidRPr="00C67C0C">
        <w:rPr>
          <w:rFonts w:ascii="Arial" w:hAnsi="Arial" w:cs="Arial"/>
        </w:rPr>
        <w:t>Goudge</w:t>
      </w:r>
      <w:proofErr w:type="spellEnd"/>
      <w:r w:rsidRPr="00C67C0C">
        <w:rPr>
          <w:rFonts w:ascii="Arial" w:hAnsi="Arial" w:cs="Arial"/>
        </w:rPr>
        <w:t xml:space="preserve"> made the same point in his report, at p. 493: Forensic pathology provides a good example of a discipline that has not traditionally engaged in random testing or determining rates of error. The reasons are obvious: testing and reproducibility cannot be used to verify a cause of death. The forensic pathologist's opinion must instead rely on specialized training, accepted standards and protocols within the forensic pathology community, accurate gathering of empirical evidence, attention to the limits of the discipline and the possibility of alternative explanations or error, knowledge derived from established peer-reviewed medical literature, and sound professional judgment.</w:t>
      </w:r>
    </w:p>
    <w:p w14:paraId="1C247287" w14:textId="7D8B00C2" w:rsidR="00DE67D2" w:rsidRDefault="00DE67D2" w:rsidP="006335E3">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In </w:t>
      </w:r>
      <w:r w:rsidRPr="00B65E53">
        <w:rPr>
          <w:rFonts w:ascii="Arial" w:hAnsi="Arial" w:cs="Arial"/>
          <w:i/>
          <w:iCs/>
          <w:color w:val="000000"/>
        </w:rPr>
        <w:t>R. v. Abbey</w:t>
      </w:r>
      <w:r>
        <w:rPr>
          <w:rFonts w:ascii="Arial" w:hAnsi="Arial" w:cs="Arial"/>
          <w:color w:val="000000"/>
        </w:rPr>
        <w:t xml:space="preserve"> </w:t>
      </w:r>
      <w:r w:rsidR="00303B72">
        <w:rPr>
          <w:rFonts w:ascii="Arial" w:hAnsi="Arial" w:cs="Arial"/>
          <w:color w:val="000000"/>
        </w:rPr>
        <w:t xml:space="preserve">#1, the court suggests </w:t>
      </w:r>
      <w:proofErr w:type="gramStart"/>
      <w:r w:rsidR="00303B72">
        <w:rPr>
          <w:rFonts w:ascii="Arial" w:hAnsi="Arial" w:cs="Arial"/>
          <w:color w:val="000000"/>
        </w:rPr>
        <w:t>a number of</w:t>
      </w:r>
      <w:proofErr w:type="gramEnd"/>
      <w:r w:rsidR="00303B72">
        <w:rPr>
          <w:rFonts w:ascii="Arial" w:hAnsi="Arial" w:cs="Arial"/>
          <w:color w:val="000000"/>
        </w:rPr>
        <w:t xml:space="preserve"> factors </w:t>
      </w:r>
      <w:r w:rsidR="00545C95">
        <w:rPr>
          <w:rFonts w:ascii="Arial" w:hAnsi="Arial" w:cs="Arial"/>
          <w:color w:val="000000"/>
        </w:rPr>
        <w:t xml:space="preserve">that may be relevant to the reliability of a non-scientific </w:t>
      </w:r>
      <w:r w:rsidR="00B35D2C">
        <w:rPr>
          <w:rFonts w:ascii="Arial" w:hAnsi="Arial" w:cs="Arial"/>
          <w:color w:val="000000"/>
        </w:rPr>
        <w:t>opinion as follows:</w:t>
      </w:r>
      <w:r w:rsidR="009B6912">
        <w:rPr>
          <w:rStyle w:val="FootnoteReference"/>
          <w:rFonts w:ascii="Arial" w:hAnsi="Arial" w:cs="Arial"/>
          <w:color w:val="000000"/>
        </w:rPr>
        <w:footnoteReference w:id="49"/>
      </w:r>
    </w:p>
    <w:p w14:paraId="67CFFC2C" w14:textId="704F5A77" w:rsidR="00B35D2C" w:rsidRDefault="00B35D2C" w:rsidP="009B6912">
      <w:pPr>
        <w:pStyle w:val="doubleindent-quote"/>
        <w:numPr>
          <w:ilvl w:val="0"/>
          <w:numId w:val="20"/>
        </w:numPr>
        <w:spacing w:before="120" w:beforeAutospacing="0" w:after="240" w:afterAutospacing="0"/>
        <w:ind w:right="-23"/>
        <w:rPr>
          <w:rFonts w:ascii="Arial" w:hAnsi="Arial" w:cs="Arial"/>
          <w:color w:val="000000"/>
        </w:rPr>
      </w:pPr>
      <w:r>
        <w:rPr>
          <w:rFonts w:ascii="Arial" w:hAnsi="Arial" w:cs="Arial"/>
          <w:color w:val="000000"/>
        </w:rPr>
        <w:t xml:space="preserve">To what extent is the field in which the opinion is offered a recognized discipline, </w:t>
      </w:r>
      <w:proofErr w:type="gramStart"/>
      <w:r>
        <w:rPr>
          <w:rFonts w:ascii="Arial" w:hAnsi="Arial" w:cs="Arial"/>
          <w:color w:val="000000"/>
        </w:rPr>
        <w:t>profession</w:t>
      </w:r>
      <w:proofErr w:type="gramEnd"/>
      <w:r w:rsidR="00D44B6F">
        <w:rPr>
          <w:rFonts w:ascii="Arial" w:hAnsi="Arial" w:cs="Arial"/>
          <w:color w:val="000000"/>
        </w:rPr>
        <w:t xml:space="preserve"> or area of specialized training?</w:t>
      </w:r>
    </w:p>
    <w:p w14:paraId="22F2BE4B" w14:textId="77777777" w:rsidR="009B6912" w:rsidRDefault="00D44B6F" w:rsidP="009B6912">
      <w:pPr>
        <w:pStyle w:val="doubleindent-quote"/>
        <w:numPr>
          <w:ilvl w:val="0"/>
          <w:numId w:val="20"/>
        </w:numPr>
        <w:spacing w:before="120" w:beforeAutospacing="0" w:after="240" w:afterAutospacing="0"/>
        <w:ind w:right="-23"/>
        <w:rPr>
          <w:rFonts w:ascii="Arial" w:hAnsi="Arial" w:cs="Arial"/>
          <w:color w:val="000000"/>
        </w:rPr>
      </w:pPr>
      <w:r w:rsidRPr="009B6912">
        <w:rPr>
          <w:rFonts w:ascii="Arial" w:hAnsi="Arial" w:cs="Arial"/>
          <w:color w:val="000000"/>
        </w:rPr>
        <w:t>To what extent is the work within that field subject to quality assurance measures</w:t>
      </w:r>
      <w:r w:rsidR="00C13542" w:rsidRPr="009B6912">
        <w:rPr>
          <w:rFonts w:ascii="Arial" w:hAnsi="Arial" w:cs="Arial"/>
          <w:color w:val="000000"/>
        </w:rPr>
        <w:t xml:space="preserve"> and appropriate indepen</w:t>
      </w:r>
      <w:r w:rsidR="00A30C31" w:rsidRPr="009B6912">
        <w:rPr>
          <w:rFonts w:ascii="Arial" w:hAnsi="Arial" w:cs="Arial"/>
          <w:color w:val="000000"/>
        </w:rPr>
        <w:t>dent review by others in the field?</w:t>
      </w:r>
    </w:p>
    <w:p w14:paraId="1A8143EE" w14:textId="77777777" w:rsidR="009B6912" w:rsidRDefault="00A30C31" w:rsidP="009B6912">
      <w:pPr>
        <w:pStyle w:val="doubleindent-quote"/>
        <w:numPr>
          <w:ilvl w:val="0"/>
          <w:numId w:val="20"/>
        </w:numPr>
        <w:spacing w:before="120" w:beforeAutospacing="0" w:after="240" w:afterAutospacing="0"/>
        <w:ind w:right="-23"/>
        <w:rPr>
          <w:rFonts w:ascii="Arial" w:hAnsi="Arial" w:cs="Arial"/>
          <w:color w:val="000000"/>
        </w:rPr>
      </w:pPr>
      <w:r w:rsidRPr="009B6912">
        <w:rPr>
          <w:rFonts w:ascii="Arial" w:hAnsi="Arial" w:cs="Arial"/>
          <w:color w:val="000000"/>
        </w:rPr>
        <w:t xml:space="preserve">What are the </w:t>
      </w:r>
      <w:proofErr w:type="gramStart"/>
      <w:r w:rsidRPr="009B6912">
        <w:rPr>
          <w:rFonts w:ascii="Arial" w:hAnsi="Arial" w:cs="Arial"/>
          <w:color w:val="000000"/>
        </w:rPr>
        <w:t>particular expert’s</w:t>
      </w:r>
      <w:proofErr w:type="gramEnd"/>
      <w:r w:rsidRPr="009B6912">
        <w:rPr>
          <w:rFonts w:ascii="Arial" w:hAnsi="Arial" w:cs="Arial"/>
          <w:color w:val="000000"/>
        </w:rPr>
        <w:t xml:space="preserve"> qualifications within that discipline, profession or area of specialized training?</w:t>
      </w:r>
    </w:p>
    <w:p w14:paraId="7575C8F8" w14:textId="509EEE2C" w:rsidR="009B6912" w:rsidRDefault="001A590C" w:rsidP="009B6912">
      <w:pPr>
        <w:pStyle w:val="doubleindent-quote"/>
        <w:numPr>
          <w:ilvl w:val="0"/>
          <w:numId w:val="20"/>
        </w:numPr>
        <w:spacing w:before="120" w:beforeAutospacing="0" w:after="240" w:afterAutospacing="0"/>
        <w:ind w:right="-23"/>
        <w:rPr>
          <w:rFonts w:ascii="Arial" w:hAnsi="Arial" w:cs="Arial"/>
          <w:color w:val="000000"/>
        </w:rPr>
      </w:pPr>
      <w:r w:rsidRPr="009B6912">
        <w:rPr>
          <w:rFonts w:ascii="Arial" w:hAnsi="Arial" w:cs="Arial"/>
          <w:color w:val="000000"/>
        </w:rPr>
        <w:t>To the extent that the opinion rests on data accumulated through various means such as interviews, is the data accurately recorded, stored and available?</w:t>
      </w:r>
    </w:p>
    <w:p w14:paraId="3D938E02" w14:textId="77777777" w:rsidR="009B6912" w:rsidRDefault="00064F49" w:rsidP="009B6912">
      <w:pPr>
        <w:pStyle w:val="doubleindent-quote"/>
        <w:numPr>
          <w:ilvl w:val="0"/>
          <w:numId w:val="20"/>
        </w:numPr>
        <w:spacing w:before="120" w:beforeAutospacing="0" w:after="240" w:afterAutospacing="0"/>
        <w:ind w:right="-23"/>
        <w:rPr>
          <w:rFonts w:ascii="Arial" w:hAnsi="Arial" w:cs="Arial"/>
          <w:color w:val="000000"/>
        </w:rPr>
      </w:pPr>
      <w:r w:rsidRPr="009B6912">
        <w:rPr>
          <w:rFonts w:ascii="Arial" w:hAnsi="Arial" w:cs="Arial"/>
          <w:color w:val="000000"/>
        </w:rPr>
        <w:t>To what extent are the reasoning processes underlying the opinion and the methods used to gather the relevant information clearly explained by the witness and susceptible to critical examination by the jury?</w:t>
      </w:r>
    </w:p>
    <w:p w14:paraId="60ACE9BB" w14:textId="77777777" w:rsidR="009B6912" w:rsidRDefault="00124B96" w:rsidP="009B6912">
      <w:pPr>
        <w:pStyle w:val="doubleindent-quote"/>
        <w:numPr>
          <w:ilvl w:val="0"/>
          <w:numId w:val="20"/>
        </w:numPr>
        <w:spacing w:before="120" w:beforeAutospacing="0" w:after="240" w:afterAutospacing="0"/>
        <w:ind w:right="-23"/>
        <w:rPr>
          <w:rFonts w:ascii="Arial" w:hAnsi="Arial" w:cs="Arial"/>
          <w:color w:val="000000"/>
        </w:rPr>
      </w:pPr>
      <w:r w:rsidRPr="009B6912">
        <w:rPr>
          <w:rFonts w:ascii="Arial" w:hAnsi="Arial" w:cs="Arial"/>
          <w:color w:val="000000"/>
        </w:rPr>
        <w:t xml:space="preserve">To what extent has the expert arrived at his or her opinion using methodologies accepted by those working in the </w:t>
      </w:r>
      <w:proofErr w:type="gramStart"/>
      <w:r w:rsidRPr="009B6912">
        <w:rPr>
          <w:rFonts w:ascii="Arial" w:hAnsi="Arial" w:cs="Arial"/>
          <w:color w:val="000000"/>
        </w:rPr>
        <w:t>particular field</w:t>
      </w:r>
      <w:proofErr w:type="gramEnd"/>
      <w:r w:rsidR="00501EE7" w:rsidRPr="009B6912">
        <w:rPr>
          <w:rFonts w:ascii="Arial" w:hAnsi="Arial" w:cs="Arial"/>
          <w:color w:val="000000"/>
        </w:rPr>
        <w:t xml:space="preserve"> in which the opinion is advanced?</w:t>
      </w:r>
    </w:p>
    <w:p w14:paraId="4FB3B7AE" w14:textId="77777777" w:rsidR="009B6912" w:rsidRDefault="00501EE7" w:rsidP="009B6912">
      <w:pPr>
        <w:pStyle w:val="doubleindent-quote"/>
        <w:numPr>
          <w:ilvl w:val="0"/>
          <w:numId w:val="20"/>
        </w:numPr>
        <w:spacing w:before="120" w:beforeAutospacing="0" w:after="240" w:afterAutospacing="0"/>
        <w:ind w:right="-23"/>
        <w:rPr>
          <w:rFonts w:ascii="Arial" w:hAnsi="Arial" w:cs="Arial"/>
          <w:color w:val="000000"/>
        </w:rPr>
      </w:pPr>
      <w:r w:rsidRPr="009B6912">
        <w:rPr>
          <w:rFonts w:ascii="Arial" w:hAnsi="Arial" w:cs="Arial"/>
          <w:color w:val="000000"/>
        </w:rPr>
        <w:t>To what extent do the accepted methodologies promote and enhance the reliability of the information gathered and relied upon by the expert?</w:t>
      </w:r>
    </w:p>
    <w:p w14:paraId="4BFB2A1A" w14:textId="77777777" w:rsidR="009B6912" w:rsidRDefault="006C4949" w:rsidP="009B6912">
      <w:pPr>
        <w:pStyle w:val="doubleindent-quote"/>
        <w:numPr>
          <w:ilvl w:val="0"/>
          <w:numId w:val="20"/>
        </w:numPr>
        <w:spacing w:before="120" w:beforeAutospacing="0" w:after="240" w:afterAutospacing="0"/>
        <w:ind w:right="-23"/>
        <w:rPr>
          <w:rFonts w:ascii="Arial" w:hAnsi="Arial" w:cs="Arial"/>
          <w:color w:val="000000"/>
        </w:rPr>
      </w:pPr>
      <w:r w:rsidRPr="009B6912">
        <w:rPr>
          <w:rFonts w:ascii="Arial" w:hAnsi="Arial" w:cs="Arial"/>
          <w:color w:val="000000"/>
        </w:rPr>
        <w:t xml:space="preserve"> To what extent has the witness, in advancing the opinion, honoured the boundaries and limits of the discipline</w:t>
      </w:r>
      <w:r w:rsidR="002A1F03" w:rsidRPr="009B6912">
        <w:rPr>
          <w:rFonts w:ascii="Arial" w:hAnsi="Arial" w:cs="Arial"/>
          <w:color w:val="000000"/>
        </w:rPr>
        <w:t xml:space="preserve"> from which his or her expertise arises?</w:t>
      </w:r>
    </w:p>
    <w:p w14:paraId="374BBED3" w14:textId="55F5A657" w:rsidR="002A1F03" w:rsidRPr="009B6912" w:rsidRDefault="002A1F03" w:rsidP="009B6912">
      <w:pPr>
        <w:pStyle w:val="doubleindent-quote"/>
        <w:numPr>
          <w:ilvl w:val="0"/>
          <w:numId w:val="20"/>
        </w:numPr>
        <w:spacing w:before="120" w:beforeAutospacing="0" w:after="240" w:afterAutospacing="0"/>
        <w:ind w:right="-23"/>
        <w:rPr>
          <w:rFonts w:ascii="Arial" w:hAnsi="Arial" w:cs="Arial"/>
          <w:color w:val="000000"/>
        </w:rPr>
      </w:pPr>
      <w:r w:rsidRPr="009B6912">
        <w:rPr>
          <w:rFonts w:ascii="Arial" w:hAnsi="Arial" w:cs="Arial"/>
          <w:color w:val="000000"/>
        </w:rPr>
        <w:t xml:space="preserve">To what extent is the proffered opinion </w:t>
      </w:r>
      <w:r w:rsidR="009A3D19" w:rsidRPr="009B6912">
        <w:rPr>
          <w:rFonts w:ascii="Arial" w:hAnsi="Arial" w:cs="Arial"/>
          <w:color w:val="000000"/>
        </w:rPr>
        <w:t>based on data and other information gathered independently of the specific case or, more broadly, the litigation process?</w:t>
      </w:r>
    </w:p>
    <w:p w14:paraId="5E06B24C" w14:textId="77777777" w:rsidR="00F33AAE" w:rsidRDefault="005B0D80" w:rsidP="006335E3">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Many of these factors listed above could be useful in the evaluation of the reliability of Parenting Capacity </w:t>
      </w:r>
      <w:r w:rsidR="00F33AAE">
        <w:rPr>
          <w:rFonts w:ascii="Arial" w:hAnsi="Arial" w:cs="Arial"/>
          <w:color w:val="000000"/>
        </w:rPr>
        <w:t xml:space="preserve">opinion evidence.  </w:t>
      </w:r>
      <w:r w:rsidR="00AA7C07">
        <w:rPr>
          <w:rFonts w:ascii="Arial" w:hAnsi="Arial" w:cs="Arial"/>
          <w:color w:val="000000"/>
        </w:rPr>
        <w:t>T</w:t>
      </w:r>
      <w:r w:rsidR="00B02008">
        <w:rPr>
          <w:rFonts w:ascii="Arial" w:hAnsi="Arial" w:cs="Arial"/>
          <w:color w:val="000000"/>
        </w:rPr>
        <w:t xml:space="preserve">here are no scientific tests that a court, or a </w:t>
      </w:r>
      <w:r w:rsidR="00E847E9">
        <w:rPr>
          <w:rFonts w:ascii="Arial" w:hAnsi="Arial" w:cs="Arial"/>
          <w:color w:val="000000"/>
        </w:rPr>
        <w:t xml:space="preserve">child </w:t>
      </w:r>
      <w:r w:rsidR="00B02008">
        <w:rPr>
          <w:rFonts w:ascii="Arial" w:hAnsi="Arial" w:cs="Arial"/>
          <w:color w:val="000000"/>
        </w:rPr>
        <w:t xml:space="preserve">protection worker or a parenting capacity assessor can employ to determine </w:t>
      </w:r>
      <w:r w:rsidR="005A2230">
        <w:rPr>
          <w:rFonts w:ascii="Arial" w:hAnsi="Arial" w:cs="Arial"/>
          <w:color w:val="000000"/>
        </w:rPr>
        <w:lastRenderedPageBreak/>
        <w:t xml:space="preserve">whether a parent can </w:t>
      </w:r>
      <w:r w:rsidR="001B2103">
        <w:rPr>
          <w:rFonts w:ascii="Arial" w:hAnsi="Arial" w:cs="Arial"/>
          <w:color w:val="000000"/>
        </w:rPr>
        <w:t>parent a</w:t>
      </w:r>
      <w:r w:rsidR="004616B3">
        <w:rPr>
          <w:rFonts w:ascii="Arial" w:hAnsi="Arial" w:cs="Arial"/>
          <w:color w:val="000000"/>
        </w:rPr>
        <w:t xml:space="preserve"> particular</w:t>
      </w:r>
      <w:r w:rsidR="001B2103">
        <w:rPr>
          <w:rFonts w:ascii="Arial" w:hAnsi="Arial" w:cs="Arial"/>
          <w:color w:val="000000"/>
        </w:rPr>
        <w:t xml:space="preserve"> child in a good enough manner.  T</w:t>
      </w:r>
      <w:r w:rsidR="0019125A">
        <w:rPr>
          <w:rFonts w:ascii="Arial" w:hAnsi="Arial" w:cs="Arial"/>
          <w:color w:val="000000"/>
        </w:rPr>
        <w:t xml:space="preserve">he </w:t>
      </w:r>
      <w:r w:rsidR="00D0188F">
        <w:rPr>
          <w:rFonts w:ascii="Arial" w:hAnsi="Arial" w:cs="Arial"/>
          <w:color w:val="000000"/>
        </w:rPr>
        <w:t>opinion</w:t>
      </w:r>
      <w:r w:rsidR="00607684">
        <w:rPr>
          <w:rFonts w:ascii="Arial" w:hAnsi="Arial" w:cs="Arial"/>
          <w:color w:val="000000"/>
        </w:rPr>
        <w:t>s</w:t>
      </w:r>
      <w:r w:rsidR="00D0188F">
        <w:rPr>
          <w:rFonts w:ascii="Arial" w:hAnsi="Arial" w:cs="Arial"/>
          <w:color w:val="000000"/>
        </w:rPr>
        <w:t xml:space="preserve"> of parenting capacity assessor</w:t>
      </w:r>
      <w:r w:rsidR="00607684">
        <w:rPr>
          <w:rFonts w:ascii="Arial" w:hAnsi="Arial" w:cs="Arial"/>
          <w:color w:val="000000"/>
        </w:rPr>
        <w:t xml:space="preserve">s </w:t>
      </w:r>
      <w:r w:rsidR="00D0188F">
        <w:rPr>
          <w:rFonts w:ascii="Arial" w:hAnsi="Arial" w:cs="Arial"/>
          <w:color w:val="000000"/>
        </w:rPr>
        <w:t xml:space="preserve">must </w:t>
      </w:r>
      <w:r w:rsidR="00631CD8">
        <w:rPr>
          <w:rFonts w:ascii="Arial" w:hAnsi="Arial" w:cs="Arial"/>
          <w:color w:val="000000"/>
        </w:rPr>
        <w:t>be grounded in</w:t>
      </w:r>
      <w:r w:rsidR="00D0188F">
        <w:rPr>
          <w:rFonts w:ascii="Arial" w:hAnsi="Arial" w:cs="Arial"/>
          <w:color w:val="000000"/>
        </w:rPr>
        <w:t xml:space="preserve"> specialized </w:t>
      </w:r>
      <w:r w:rsidR="0062358B">
        <w:rPr>
          <w:rFonts w:ascii="Arial" w:hAnsi="Arial" w:cs="Arial"/>
          <w:color w:val="000000"/>
        </w:rPr>
        <w:t>training and accepted standards and protocols for the conduct of a forensic assessment</w:t>
      </w:r>
      <w:r w:rsidR="0072717E">
        <w:rPr>
          <w:rFonts w:ascii="Arial" w:hAnsi="Arial" w:cs="Arial"/>
          <w:color w:val="000000"/>
        </w:rPr>
        <w:t xml:space="preserve"> of this type</w:t>
      </w:r>
      <w:r w:rsidR="0062358B">
        <w:rPr>
          <w:rFonts w:ascii="Arial" w:hAnsi="Arial" w:cs="Arial"/>
          <w:color w:val="000000"/>
        </w:rPr>
        <w:t xml:space="preserve">. </w:t>
      </w:r>
    </w:p>
    <w:p w14:paraId="3D72F95A" w14:textId="68476B09" w:rsidR="00875C8B" w:rsidRDefault="00897E81" w:rsidP="006335E3">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Unfortunately, in Ontario, there are no </w:t>
      </w:r>
      <w:r w:rsidR="00DF4917">
        <w:rPr>
          <w:rFonts w:ascii="Arial" w:hAnsi="Arial" w:cs="Arial"/>
          <w:color w:val="000000"/>
        </w:rPr>
        <w:t xml:space="preserve">structured training programs, </w:t>
      </w:r>
      <w:proofErr w:type="gramStart"/>
      <w:r>
        <w:rPr>
          <w:rFonts w:ascii="Arial" w:hAnsi="Arial" w:cs="Arial"/>
          <w:color w:val="000000"/>
        </w:rPr>
        <w:t>standards</w:t>
      </w:r>
      <w:proofErr w:type="gramEnd"/>
      <w:r>
        <w:rPr>
          <w:rFonts w:ascii="Arial" w:hAnsi="Arial" w:cs="Arial"/>
          <w:color w:val="000000"/>
        </w:rPr>
        <w:t xml:space="preserve"> or </w:t>
      </w:r>
      <w:r w:rsidR="004B26D4">
        <w:rPr>
          <w:rFonts w:ascii="Arial" w:hAnsi="Arial" w:cs="Arial"/>
          <w:color w:val="000000"/>
        </w:rPr>
        <w:t xml:space="preserve">best practice </w:t>
      </w:r>
      <w:r>
        <w:rPr>
          <w:rFonts w:ascii="Arial" w:hAnsi="Arial" w:cs="Arial"/>
          <w:color w:val="000000"/>
        </w:rPr>
        <w:t xml:space="preserve">protocols for </w:t>
      </w:r>
      <w:r w:rsidR="00293350">
        <w:rPr>
          <w:rFonts w:ascii="Arial" w:hAnsi="Arial" w:cs="Arial"/>
          <w:color w:val="000000"/>
        </w:rPr>
        <w:t>assessors</w:t>
      </w:r>
      <w:r w:rsidR="00846849">
        <w:rPr>
          <w:rFonts w:ascii="Arial" w:hAnsi="Arial" w:cs="Arial"/>
          <w:color w:val="000000"/>
        </w:rPr>
        <w:t xml:space="preserve"> to follow</w:t>
      </w:r>
      <w:r w:rsidR="00293350">
        <w:rPr>
          <w:rFonts w:ascii="Arial" w:hAnsi="Arial" w:cs="Arial"/>
          <w:color w:val="000000"/>
        </w:rPr>
        <w:t>.</w:t>
      </w:r>
      <w:r w:rsidR="00846849">
        <w:rPr>
          <w:rFonts w:ascii="Arial" w:hAnsi="Arial" w:cs="Arial"/>
          <w:color w:val="000000"/>
        </w:rPr>
        <w:t xml:space="preserve"> This </w:t>
      </w:r>
      <w:r w:rsidR="008242B4">
        <w:rPr>
          <w:rFonts w:ascii="Arial" w:hAnsi="Arial" w:cs="Arial"/>
          <w:color w:val="000000"/>
        </w:rPr>
        <w:t xml:space="preserve">raises serious challenges to any court attempting to evaluate </w:t>
      </w:r>
      <w:r w:rsidR="002B28F6">
        <w:rPr>
          <w:rFonts w:ascii="Arial" w:hAnsi="Arial" w:cs="Arial"/>
          <w:color w:val="000000"/>
        </w:rPr>
        <w:t xml:space="preserve">issues of threshold and ultimate reliability </w:t>
      </w:r>
      <w:r w:rsidR="00F967F2">
        <w:rPr>
          <w:rFonts w:ascii="Arial" w:hAnsi="Arial" w:cs="Arial"/>
          <w:color w:val="000000"/>
        </w:rPr>
        <w:t xml:space="preserve">and </w:t>
      </w:r>
      <w:r w:rsidR="002B28F6">
        <w:rPr>
          <w:rFonts w:ascii="Arial" w:hAnsi="Arial" w:cs="Arial"/>
          <w:color w:val="000000"/>
        </w:rPr>
        <w:t xml:space="preserve">the </w:t>
      </w:r>
      <w:r w:rsidR="00F967F2">
        <w:rPr>
          <w:rFonts w:ascii="Arial" w:hAnsi="Arial" w:cs="Arial"/>
          <w:color w:val="000000"/>
        </w:rPr>
        <w:t xml:space="preserve">weight to be given to this form of opinion evidence.  </w:t>
      </w:r>
      <w:r w:rsidR="00307A40">
        <w:rPr>
          <w:rFonts w:ascii="Arial" w:hAnsi="Arial" w:cs="Arial"/>
          <w:color w:val="000000"/>
        </w:rPr>
        <w:t>T</w:t>
      </w:r>
      <w:r w:rsidR="00DD1FBB">
        <w:rPr>
          <w:rFonts w:ascii="Arial" w:hAnsi="Arial" w:cs="Arial"/>
          <w:color w:val="000000"/>
        </w:rPr>
        <w:t>here are reasons</w:t>
      </w:r>
      <w:r w:rsidR="00AC4AB8">
        <w:rPr>
          <w:rFonts w:ascii="Arial" w:hAnsi="Arial" w:cs="Arial"/>
          <w:color w:val="000000"/>
        </w:rPr>
        <w:t xml:space="preserve"> to conclude</w:t>
      </w:r>
      <w:r w:rsidR="00307A40">
        <w:rPr>
          <w:rFonts w:ascii="Arial" w:hAnsi="Arial" w:cs="Arial"/>
          <w:color w:val="000000"/>
        </w:rPr>
        <w:t>, however,</w:t>
      </w:r>
      <w:r w:rsidR="00AC4AB8">
        <w:rPr>
          <w:rFonts w:ascii="Arial" w:hAnsi="Arial" w:cs="Arial"/>
          <w:color w:val="000000"/>
        </w:rPr>
        <w:t xml:space="preserve"> that child protection judges are </w:t>
      </w:r>
      <w:r w:rsidR="00001468">
        <w:rPr>
          <w:rFonts w:ascii="Arial" w:hAnsi="Arial" w:cs="Arial"/>
          <w:color w:val="000000"/>
        </w:rPr>
        <w:t>particularly skilled gatekeepers in the face of expert evidence from psychologists and psychiatrists.</w:t>
      </w:r>
      <w:r w:rsidR="004B26D4">
        <w:rPr>
          <w:rFonts w:ascii="Arial" w:hAnsi="Arial" w:cs="Arial"/>
          <w:color w:val="000000"/>
        </w:rPr>
        <w:t xml:space="preserve"> </w:t>
      </w:r>
      <w:r w:rsidR="00293350">
        <w:rPr>
          <w:rFonts w:ascii="Arial" w:hAnsi="Arial" w:cs="Arial"/>
          <w:color w:val="000000"/>
        </w:rPr>
        <w:t xml:space="preserve"> </w:t>
      </w:r>
    </w:p>
    <w:p w14:paraId="4EB7B5AC" w14:textId="722AC769" w:rsidR="00CA22B1" w:rsidRPr="00276C3E" w:rsidRDefault="00276C3E" w:rsidP="006335E3">
      <w:pPr>
        <w:pStyle w:val="doubleindent-quote"/>
        <w:spacing w:before="120" w:beforeAutospacing="0" w:after="240" w:afterAutospacing="0"/>
        <w:ind w:right="-23"/>
        <w:rPr>
          <w:rFonts w:ascii="Arial" w:hAnsi="Arial" w:cs="Arial"/>
          <w:b/>
          <w:bCs/>
          <w:color w:val="000000"/>
        </w:rPr>
      </w:pPr>
      <w:r w:rsidRPr="00276C3E">
        <w:rPr>
          <w:rFonts w:ascii="Arial" w:hAnsi="Arial" w:cs="Arial"/>
          <w:b/>
          <w:bCs/>
          <w:color w:val="000000"/>
        </w:rPr>
        <w:t>Parenting Capacity Assessments and t</w:t>
      </w:r>
      <w:r w:rsidR="00CC6594" w:rsidRPr="00276C3E">
        <w:rPr>
          <w:rFonts w:ascii="Arial" w:hAnsi="Arial" w:cs="Arial"/>
          <w:b/>
          <w:bCs/>
          <w:color w:val="000000"/>
        </w:rPr>
        <w:t>he Gatekeeping Stage</w:t>
      </w:r>
    </w:p>
    <w:p w14:paraId="0C49F92F" w14:textId="7A2C32FF" w:rsidR="00B70A5F" w:rsidRDefault="003B183E" w:rsidP="006335E3">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At the gatekeeping stage, the court </w:t>
      </w:r>
      <w:r w:rsidR="00B608BF">
        <w:rPr>
          <w:rFonts w:ascii="Arial" w:hAnsi="Arial" w:cs="Arial"/>
          <w:color w:val="000000"/>
        </w:rPr>
        <w:t xml:space="preserve">weighs the costs of admitting the opinion evidence against the benefits.  </w:t>
      </w:r>
      <w:r w:rsidR="009E6E2B">
        <w:rPr>
          <w:rFonts w:ascii="Arial" w:hAnsi="Arial" w:cs="Arial"/>
          <w:color w:val="000000"/>
        </w:rPr>
        <w:t xml:space="preserve">In </w:t>
      </w:r>
      <w:r w:rsidR="00027476" w:rsidRPr="00E26325">
        <w:rPr>
          <w:rFonts w:ascii="Arial" w:hAnsi="Arial" w:cs="Arial"/>
          <w:i/>
          <w:iCs/>
          <w:color w:val="000000"/>
        </w:rPr>
        <w:t>White Burgess</w:t>
      </w:r>
      <w:r w:rsidR="00027476">
        <w:rPr>
          <w:rFonts w:ascii="Arial" w:hAnsi="Arial" w:cs="Arial"/>
          <w:color w:val="000000"/>
        </w:rPr>
        <w:t xml:space="preserve">, the court </w:t>
      </w:r>
      <w:r w:rsidR="004A7D7F">
        <w:rPr>
          <w:rFonts w:ascii="Arial" w:hAnsi="Arial" w:cs="Arial"/>
          <w:color w:val="000000"/>
        </w:rPr>
        <w:t>pointed out</w:t>
      </w:r>
      <w:r w:rsidR="00602A12">
        <w:rPr>
          <w:rFonts w:ascii="Arial" w:hAnsi="Arial" w:cs="Arial"/>
          <w:color w:val="000000"/>
        </w:rPr>
        <w:t xml:space="preserve"> that one of the </w:t>
      </w:r>
      <w:r w:rsidR="004165DC">
        <w:rPr>
          <w:rFonts w:ascii="Arial" w:hAnsi="Arial" w:cs="Arial"/>
          <w:color w:val="000000"/>
        </w:rPr>
        <w:t xml:space="preserve">key </w:t>
      </w:r>
      <w:r w:rsidR="00602A12">
        <w:rPr>
          <w:rFonts w:ascii="Arial" w:hAnsi="Arial" w:cs="Arial"/>
          <w:color w:val="000000"/>
        </w:rPr>
        <w:t xml:space="preserve">dangers of expert opinion evidence is that </w:t>
      </w:r>
      <w:r w:rsidR="003E4751">
        <w:rPr>
          <w:rFonts w:ascii="Arial" w:hAnsi="Arial" w:cs="Arial"/>
          <w:color w:val="000000"/>
        </w:rPr>
        <w:t>“</w:t>
      </w:r>
      <w:r w:rsidR="00602A12">
        <w:rPr>
          <w:rFonts w:ascii="Arial" w:hAnsi="Arial" w:cs="Arial"/>
          <w:color w:val="000000"/>
        </w:rPr>
        <w:t>the trier of fact will inappropriately defer to the expert’s opinion rather</w:t>
      </w:r>
      <w:r w:rsidR="003E4751">
        <w:rPr>
          <w:rFonts w:ascii="Arial" w:hAnsi="Arial" w:cs="Arial"/>
          <w:color w:val="000000"/>
        </w:rPr>
        <w:t xml:space="preserve"> than carefully evaluate it”.</w:t>
      </w:r>
      <w:r w:rsidR="003E4751">
        <w:rPr>
          <w:rStyle w:val="FootnoteReference"/>
          <w:rFonts w:ascii="Arial" w:hAnsi="Arial" w:cs="Arial"/>
          <w:color w:val="000000"/>
        </w:rPr>
        <w:footnoteReference w:id="50"/>
      </w:r>
      <w:r w:rsidR="00DA4F1E">
        <w:rPr>
          <w:rFonts w:ascii="Arial" w:hAnsi="Arial" w:cs="Arial"/>
          <w:color w:val="000000"/>
        </w:rPr>
        <w:t xml:space="preserve"> </w:t>
      </w:r>
      <w:r w:rsidR="0047577B">
        <w:rPr>
          <w:rFonts w:ascii="Arial" w:hAnsi="Arial" w:cs="Arial"/>
          <w:color w:val="000000"/>
        </w:rPr>
        <w:t xml:space="preserve"> </w:t>
      </w:r>
    </w:p>
    <w:p w14:paraId="421F64EF" w14:textId="53D89171" w:rsidR="00240AF2" w:rsidRPr="00C4187F" w:rsidRDefault="002049C4" w:rsidP="006335E3">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However, child protection judges </w:t>
      </w:r>
      <w:r w:rsidR="002B314C">
        <w:rPr>
          <w:rFonts w:ascii="Arial" w:hAnsi="Arial" w:cs="Arial"/>
          <w:color w:val="000000"/>
        </w:rPr>
        <w:t xml:space="preserve">are generally very experienced in </w:t>
      </w:r>
      <w:r w:rsidR="00205414">
        <w:rPr>
          <w:rFonts w:ascii="Arial" w:hAnsi="Arial" w:cs="Arial"/>
          <w:color w:val="000000"/>
        </w:rPr>
        <w:t xml:space="preserve">evaluating and weighing </w:t>
      </w:r>
      <w:r w:rsidR="002B314C">
        <w:rPr>
          <w:rFonts w:ascii="Arial" w:hAnsi="Arial" w:cs="Arial"/>
          <w:color w:val="000000"/>
        </w:rPr>
        <w:t xml:space="preserve">opinion evidence offered by psychologists and psychiatrists.  </w:t>
      </w:r>
      <w:r w:rsidR="003156F7">
        <w:rPr>
          <w:rFonts w:ascii="Arial" w:hAnsi="Arial" w:cs="Arial"/>
          <w:color w:val="000000"/>
        </w:rPr>
        <w:t>T</w:t>
      </w:r>
      <w:r w:rsidR="003F2782">
        <w:rPr>
          <w:rFonts w:ascii="Arial" w:hAnsi="Arial" w:cs="Arial"/>
          <w:color w:val="000000"/>
        </w:rPr>
        <w:t xml:space="preserve">his </w:t>
      </w:r>
      <w:r w:rsidR="006A3BB9">
        <w:rPr>
          <w:rFonts w:ascii="Arial" w:hAnsi="Arial" w:cs="Arial"/>
          <w:color w:val="000000"/>
        </w:rPr>
        <w:t xml:space="preserve">danger </w:t>
      </w:r>
      <w:r w:rsidR="00495765">
        <w:rPr>
          <w:rFonts w:ascii="Arial" w:hAnsi="Arial" w:cs="Arial"/>
          <w:color w:val="000000"/>
        </w:rPr>
        <w:t xml:space="preserve">of deferring to an expert </w:t>
      </w:r>
      <w:r w:rsidR="00502355">
        <w:rPr>
          <w:rFonts w:ascii="Arial" w:hAnsi="Arial" w:cs="Arial"/>
          <w:color w:val="000000"/>
        </w:rPr>
        <w:t xml:space="preserve">may </w:t>
      </w:r>
      <w:r w:rsidR="006A3BB9">
        <w:rPr>
          <w:rFonts w:ascii="Arial" w:hAnsi="Arial" w:cs="Arial"/>
          <w:color w:val="000000"/>
        </w:rPr>
        <w:t xml:space="preserve">not </w:t>
      </w:r>
      <w:r w:rsidR="00502355">
        <w:rPr>
          <w:rFonts w:ascii="Arial" w:hAnsi="Arial" w:cs="Arial"/>
          <w:color w:val="000000"/>
        </w:rPr>
        <w:t xml:space="preserve">be </w:t>
      </w:r>
      <w:r w:rsidR="006A3BB9">
        <w:rPr>
          <w:rFonts w:ascii="Arial" w:hAnsi="Arial" w:cs="Arial"/>
          <w:color w:val="000000"/>
        </w:rPr>
        <w:t xml:space="preserve">present to </w:t>
      </w:r>
      <w:r w:rsidR="00745383">
        <w:rPr>
          <w:rFonts w:ascii="Arial" w:hAnsi="Arial" w:cs="Arial"/>
          <w:color w:val="000000"/>
        </w:rPr>
        <w:t xml:space="preserve">a </w:t>
      </w:r>
      <w:r w:rsidR="00855632">
        <w:rPr>
          <w:rFonts w:ascii="Arial" w:hAnsi="Arial" w:cs="Arial"/>
          <w:color w:val="000000"/>
        </w:rPr>
        <w:t>sign</w:t>
      </w:r>
      <w:r w:rsidR="00805CDF">
        <w:rPr>
          <w:rFonts w:ascii="Arial" w:hAnsi="Arial" w:cs="Arial"/>
          <w:color w:val="000000"/>
        </w:rPr>
        <w:t>ificant</w:t>
      </w:r>
      <w:r w:rsidR="000C75E7">
        <w:rPr>
          <w:rFonts w:ascii="Arial" w:hAnsi="Arial" w:cs="Arial"/>
          <w:color w:val="000000"/>
        </w:rPr>
        <w:t xml:space="preserve"> degree when the </w:t>
      </w:r>
      <w:r w:rsidR="00A64B40">
        <w:rPr>
          <w:rFonts w:ascii="Arial" w:hAnsi="Arial" w:cs="Arial"/>
          <w:color w:val="000000"/>
        </w:rPr>
        <w:t xml:space="preserve">expert opinion evidence is a parenting capacity </w:t>
      </w:r>
      <w:r w:rsidR="00F75672">
        <w:rPr>
          <w:rFonts w:ascii="Arial" w:hAnsi="Arial" w:cs="Arial"/>
          <w:color w:val="000000"/>
        </w:rPr>
        <w:t xml:space="preserve">opinion being evaluated </w:t>
      </w:r>
      <w:r w:rsidR="009160F9">
        <w:rPr>
          <w:rFonts w:ascii="Arial" w:hAnsi="Arial" w:cs="Arial"/>
          <w:color w:val="000000"/>
        </w:rPr>
        <w:t xml:space="preserve">by a </w:t>
      </w:r>
      <w:r w:rsidR="00532663">
        <w:rPr>
          <w:rFonts w:ascii="Arial" w:hAnsi="Arial" w:cs="Arial"/>
          <w:color w:val="000000"/>
        </w:rPr>
        <w:t xml:space="preserve">child protection judge who </w:t>
      </w:r>
      <w:r w:rsidR="00884ED8">
        <w:rPr>
          <w:rFonts w:ascii="Arial" w:hAnsi="Arial" w:cs="Arial"/>
          <w:color w:val="000000"/>
        </w:rPr>
        <w:t>reviews</w:t>
      </w:r>
      <w:r w:rsidR="00532663">
        <w:rPr>
          <w:rFonts w:ascii="Arial" w:hAnsi="Arial" w:cs="Arial"/>
          <w:color w:val="000000"/>
        </w:rPr>
        <w:t xml:space="preserve"> </w:t>
      </w:r>
      <w:r w:rsidR="00263B73">
        <w:rPr>
          <w:rFonts w:ascii="Arial" w:hAnsi="Arial" w:cs="Arial"/>
          <w:color w:val="000000"/>
        </w:rPr>
        <w:t xml:space="preserve">evidence related </w:t>
      </w:r>
      <w:r w:rsidR="00884ED8">
        <w:rPr>
          <w:rFonts w:ascii="Arial" w:hAnsi="Arial" w:cs="Arial"/>
          <w:color w:val="000000"/>
        </w:rPr>
        <w:t>to parenting skills and deficits</w:t>
      </w:r>
      <w:r w:rsidR="00011077">
        <w:rPr>
          <w:rFonts w:ascii="Arial" w:hAnsi="Arial" w:cs="Arial"/>
          <w:color w:val="000000"/>
        </w:rPr>
        <w:t xml:space="preserve"> on a regular basis.  </w:t>
      </w:r>
      <w:r w:rsidR="00805CDF">
        <w:rPr>
          <w:rFonts w:ascii="Arial" w:hAnsi="Arial" w:cs="Arial"/>
          <w:color w:val="000000"/>
        </w:rPr>
        <w:t>In most cases, a</w:t>
      </w:r>
      <w:r w:rsidR="004815B6">
        <w:rPr>
          <w:rFonts w:ascii="Arial" w:hAnsi="Arial" w:cs="Arial"/>
          <w:color w:val="000000"/>
        </w:rPr>
        <w:t xml:space="preserve">n experienced child protection judge is well positioned to </w:t>
      </w:r>
      <w:r w:rsidR="006E0049">
        <w:rPr>
          <w:rFonts w:ascii="Arial" w:hAnsi="Arial" w:cs="Arial"/>
          <w:color w:val="000000"/>
        </w:rPr>
        <w:t xml:space="preserve">evaluate how the findings of a parenting capacity assessor do or do not correspond with </w:t>
      </w:r>
      <w:r w:rsidR="002875A2">
        <w:rPr>
          <w:rFonts w:ascii="Arial" w:hAnsi="Arial" w:cs="Arial"/>
          <w:color w:val="000000"/>
        </w:rPr>
        <w:t>other evidence before the court.</w:t>
      </w:r>
      <w:r w:rsidR="005462BA">
        <w:rPr>
          <w:rStyle w:val="FootnoteReference"/>
          <w:rFonts w:ascii="Arial" w:hAnsi="Arial" w:cs="Arial"/>
          <w:color w:val="000000"/>
        </w:rPr>
        <w:footnoteReference w:id="51"/>
      </w:r>
      <w:r w:rsidR="007C0737">
        <w:rPr>
          <w:rFonts w:ascii="Arial" w:hAnsi="Arial" w:cs="Arial"/>
          <w:color w:val="000000"/>
        </w:rPr>
        <w:t xml:space="preserve">  </w:t>
      </w:r>
    </w:p>
    <w:p w14:paraId="2E27EADF" w14:textId="4B884B0E" w:rsidR="006335E3" w:rsidRPr="00135B1E" w:rsidRDefault="006335E3" w:rsidP="006335E3">
      <w:pPr>
        <w:pStyle w:val="doubleindent-quote"/>
        <w:spacing w:before="120" w:beforeAutospacing="0" w:after="240" w:afterAutospacing="0"/>
        <w:ind w:right="-23"/>
        <w:rPr>
          <w:rFonts w:ascii="Arial" w:hAnsi="Arial" w:cs="Arial"/>
          <w:b/>
          <w:bCs/>
          <w:color w:val="000000"/>
        </w:rPr>
      </w:pPr>
      <w:r w:rsidRPr="00135B1E">
        <w:rPr>
          <w:rFonts w:ascii="Arial" w:hAnsi="Arial" w:cs="Arial"/>
          <w:b/>
          <w:bCs/>
          <w:color w:val="000000"/>
        </w:rPr>
        <w:t>When is Expert Evidence on Parenting Capacity Necessary?</w:t>
      </w:r>
    </w:p>
    <w:p w14:paraId="4C6A3218" w14:textId="7D17FCD6" w:rsidR="006335E3" w:rsidRDefault="006335E3" w:rsidP="006335E3">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A qualified parenting capacity assessor can assist the court by providing clinical opinion evidence about the likely impact of </w:t>
      </w:r>
      <w:r w:rsidR="00DD5BC5">
        <w:rPr>
          <w:rFonts w:ascii="Arial" w:hAnsi="Arial" w:cs="Arial"/>
          <w:color w:val="000000"/>
        </w:rPr>
        <w:t xml:space="preserve">certain </w:t>
      </w:r>
      <w:r>
        <w:rPr>
          <w:rFonts w:ascii="Arial" w:hAnsi="Arial" w:cs="Arial"/>
          <w:color w:val="000000"/>
        </w:rPr>
        <w:t xml:space="preserve">parenting behaviours on the child’s emotional, psychological, </w:t>
      </w:r>
      <w:proofErr w:type="gramStart"/>
      <w:r>
        <w:rPr>
          <w:rFonts w:ascii="Arial" w:hAnsi="Arial" w:cs="Arial"/>
          <w:color w:val="000000"/>
        </w:rPr>
        <w:t>physical</w:t>
      </w:r>
      <w:proofErr w:type="gramEnd"/>
      <w:r w:rsidR="00152509">
        <w:rPr>
          <w:rFonts w:ascii="Arial" w:hAnsi="Arial" w:cs="Arial"/>
          <w:color w:val="000000"/>
        </w:rPr>
        <w:t xml:space="preserve"> and </w:t>
      </w:r>
      <w:r>
        <w:rPr>
          <w:rFonts w:ascii="Arial" w:hAnsi="Arial" w:cs="Arial"/>
          <w:color w:val="000000"/>
        </w:rPr>
        <w:t xml:space="preserve">social </w:t>
      </w:r>
      <w:r w:rsidR="003966B4">
        <w:rPr>
          <w:rFonts w:ascii="Arial" w:hAnsi="Arial" w:cs="Arial"/>
          <w:color w:val="000000"/>
        </w:rPr>
        <w:t>development</w:t>
      </w:r>
      <w:r>
        <w:rPr>
          <w:rFonts w:ascii="Arial" w:hAnsi="Arial" w:cs="Arial"/>
          <w:color w:val="000000"/>
        </w:rPr>
        <w:t xml:space="preserve"> over time. </w:t>
      </w:r>
      <w:r w:rsidR="004042C8">
        <w:rPr>
          <w:rFonts w:ascii="Arial" w:hAnsi="Arial" w:cs="Arial"/>
          <w:color w:val="000000"/>
        </w:rPr>
        <w:t xml:space="preserve"> </w:t>
      </w:r>
      <w:r w:rsidR="00752AF1">
        <w:rPr>
          <w:rFonts w:ascii="Arial" w:hAnsi="Arial" w:cs="Arial"/>
          <w:color w:val="000000"/>
        </w:rPr>
        <w:t xml:space="preserve">It is then the role of the court to </w:t>
      </w:r>
      <w:r w:rsidR="006253D2">
        <w:rPr>
          <w:rFonts w:ascii="Arial" w:hAnsi="Arial" w:cs="Arial"/>
          <w:color w:val="000000"/>
        </w:rPr>
        <w:t>analyze how th</w:t>
      </w:r>
      <w:r w:rsidR="00C627D1">
        <w:rPr>
          <w:rFonts w:ascii="Arial" w:hAnsi="Arial" w:cs="Arial"/>
          <w:color w:val="000000"/>
        </w:rPr>
        <w:t>is</w:t>
      </w:r>
      <w:r w:rsidR="006253D2">
        <w:rPr>
          <w:rFonts w:ascii="Arial" w:hAnsi="Arial" w:cs="Arial"/>
          <w:color w:val="000000"/>
        </w:rPr>
        <w:t xml:space="preserve"> evidence should be weighed </w:t>
      </w:r>
      <w:r w:rsidR="00F97457">
        <w:rPr>
          <w:rFonts w:ascii="Arial" w:hAnsi="Arial" w:cs="Arial"/>
          <w:color w:val="000000"/>
        </w:rPr>
        <w:t xml:space="preserve">along </w:t>
      </w:r>
      <w:r w:rsidR="006253D2">
        <w:rPr>
          <w:rFonts w:ascii="Arial" w:hAnsi="Arial" w:cs="Arial"/>
          <w:color w:val="000000"/>
        </w:rPr>
        <w:t xml:space="preserve">with </w:t>
      </w:r>
      <w:proofErr w:type="gramStart"/>
      <w:r w:rsidR="006253D2">
        <w:rPr>
          <w:rFonts w:ascii="Arial" w:hAnsi="Arial" w:cs="Arial"/>
          <w:color w:val="000000"/>
        </w:rPr>
        <w:t>all of</w:t>
      </w:r>
      <w:proofErr w:type="gramEnd"/>
      <w:r w:rsidR="006253D2">
        <w:rPr>
          <w:rFonts w:ascii="Arial" w:hAnsi="Arial" w:cs="Arial"/>
          <w:color w:val="000000"/>
        </w:rPr>
        <w:t xml:space="preserve"> the other evidence in the case to reach a determination a</w:t>
      </w:r>
      <w:r w:rsidR="00467D1C">
        <w:rPr>
          <w:rFonts w:ascii="Arial" w:hAnsi="Arial" w:cs="Arial"/>
          <w:color w:val="000000"/>
        </w:rPr>
        <w:t xml:space="preserve">bout whether this parent can provide “good enough” parenting </w:t>
      </w:r>
      <w:r w:rsidR="003E7A1A">
        <w:rPr>
          <w:rFonts w:ascii="Arial" w:hAnsi="Arial" w:cs="Arial"/>
          <w:color w:val="000000"/>
        </w:rPr>
        <w:t>for</w:t>
      </w:r>
      <w:r w:rsidR="00467D1C">
        <w:rPr>
          <w:rFonts w:ascii="Arial" w:hAnsi="Arial" w:cs="Arial"/>
          <w:color w:val="000000"/>
        </w:rPr>
        <w:t xml:space="preserve"> this child.  </w:t>
      </w:r>
      <w:r w:rsidR="00F85590">
        <w:rPr>
          <w:rFonts w:ascii="Arial" w:hAnsi="Arial" w:cs="Arial"/>
          <w:color w:val="000000"/>
        </w:rPr>
        <w:t xml:space="preserve">There </w:t>
      </w:r>
      <w:r w:rsidR="006A5C60">
        <w:rPr>
          <w:rFonts w:ascii="Arial" w:hAnsi="Arial" w:cs="Arial"/>
          <w:color w:val="000000"/>
        </w:rPr>
        <w:t xml:space="preserve">are certain forms of </w:t>
      </w:r>
      <w:r w:rsidR="006A607D">
        <w:rPr>
          <w:rFonts w:ascii="Arial" w:hAnsi="Arial" w:cs="Arial"/>
          <w:color w:val="000000"/>
        </w:rPr>
        <w:t xml:space="preserve">parental behaviour </w:t>
      </w:r>
      <w:r w:rsidR="00CE16DE">
        <w:rPr>
          <w:rFonts w:ascii="Arial" w:hAnsi="Arial" w:cs="Arial"/>
          <w:color w:val="000000"/>
        </w:rPr>
        <w:t>in which</w:t>
      </w:r>
      <w:r w:rsidR="006A607D">
        <w:rPr>
          <w:rFonts w:ascii="Arial" w:hAnsi="Arial" w:cs="Arial"/>
          <w:color w:val="000000"/>
        </w:rPr>
        <w:t xml:space="preserve"> the impact on the child </w:t>
      </w:r>
      <w:r w:rsidR="00C50436">
        <w:rPr>
          <w:rFonts w:ascii="Arial" w:hAnsi="Arial" w:cs="Arial"/>
          <w:color w:val="000000"/>
        </w:rPr>
        <w:t>is challenging to assess for a</w:t>
      </w:r>
      <w:r w:rsidR="008E1C2E">
        <w:rPr>
          <w:rFonts w:ascii="Arial" w:hAnsi="Arial" w:cs="Arial"/>
          <w:color w:val="000000"/>
        </w:rPr>
        <w:t xml:space="preserve"> person</w:t>
      </w:r>
      <w:r w:rsidR="00C50436">
        <w:rPr>
          <w:rFonts w:ascii="Arial" w:hAnsi="Arial" w:cs="Arial"/>
          <w:color w:val="000000"/>
        </w:rPr>
        <w:t xml:space="preserve"> without specialized training.</w:t>
      </w:r>
      <w:r w:rsidR="001E35FC">
        <w:rPr>
          <w:rFonts w:ascii="Arial" w:hAnsi="Arial" w:cs="Arial"/>
          <w:color w:val="000000"/>
        </w:rPr>
        <w:t xml:space="preserve">  Neglect and emotional harm </w:t>
      </w:r>
      <w:r w:rsidR="00D9566F">
        <w:rPr>
          <w:rFonts w:ascii="Arial" w:hAnsi="Arial" w:cs="Arial"/>
          <w:color w:val="000000"/>
        </w:rPr>
        <w:t xml:space="preserve">cases </w:t>
      </w:r>
      <w:r w:rsidR="002D034E">
        <w:rPr>
          <w:rFonts w:ascii="Arial" w:hAnsi="Arial" w:cs="Arial"/>
          <w:color w:val="000000"/>
        </w:rPr>
        <w:t>often</w:t>
      </w:r>
      <w:r w:rsidR="001E35FC">
        <w:rPr>
          <w:rFonts w:ascii="Arial" w:hAnsi="Arial" w:cs="Arial"/>
          <w:color w:val="000000"/>
        </w:rPr>
        <w:t xml:space="preserve"> fall into this category.  </w:t>
      </w:r>
    </w:p>
    <w:p w14:paraId="2B8CA8F8" w14:textId="77777777" w:rsidR="00D9566F" w:rsidRDefault="00D9566F" w:rsidP="006335E3">
      <w:pPr>
        <w:pStyle w:val="doubleindent-quote"/>
        <w:spacing w:before="120" w:beforeAutospacing="0" w:after="240" w:afterAutospacing="0"/>
        <w:ind w:right="-23"/>
        <w:rPr>
          <w:rFonts w:ascii="Arial" w:hAnsi="Arial" w:cs="Arial"/>
          <w:b/>
          <w:bCs/>
          <w:color w:val="000000"/>
        </w:rPr>
      </w:pPr>
    </w:p>
    <w:p w14:paraId="161623E5" w14:textId="5279F3D9" w:rsidR="009F7C61" w:rsidRPr="00F72211" w:rsidRDefault="00F72211" w:rsidP="006335E3">
      <w:pPr>
        <w:pStyle w:val="doubleindent-quote"/>
        <w:spacing w:before="120" w:beforeAutospacing="0" w:after="240" w:afterAutospacing="0"/>
        <w:ind w:right="-23"/>
        <w:rPr>
          <w:rFonts w:ascii="Arial" w:hAnsi="Arial" w:cs="Arial"/>
          <w:b/>
          <w:bCs/>
          <w:color w:val="000000"/>
        </w:rPr>
      </w:pPr>
      <w:r>
        <w:rPr>
          <w:rFonts w:ascii="Arial" w:hAnsi="Arial" w:cs="Arial"/>
          <w:b/>
          <w:bCs/>
          <w:color w:val="000000"/>
        </w:rPr>
        <w:lastRenderedPageBreak/>
        <w:t>Cases Where Parenting Capacity Assessments Have Been Relied Upon</w:t>
      </w:r>
      <w:r w:rsidR="00207E02">
        <w:rPr>
          <w:rFonts w:ascii="Arial" w:hAnsi="Arial" w:cs="Arial"/>
          <w:b/>
          <w:bCs/>
          <w:color w:val="000000"/>
        </w:rPr>
        <w:t xml:space="preserve"> by Courts</w:t>
      </w:r>
    </w:p>
    <w:p w14:paraId="0081693C" w14:textId="4BF0CCDB" w:rsidR="00693032" w:rsidRPr="008A680F" w:rsidRDefault="00693032" w:rsidP="006335E3">
      <w:pPr>
        <w:pStyle w:val="doubleindent-quote"/>
        <w:spacing w:before="120" w:beforeAutospacing="0" w:after="240" w:afterAutospacing="0"/>
        <w:ind w:right="-23"/>
        <w:rPr>
          <w:rFonts w:ascii="Arial" w:hAnsi="Arial" w:cs="Arial"/>
          <w:b/>
          <w:bCs/>
          <w:color w:val="000000"/>
          <w:u w:val="single"/>
        </w:rPr>
      </w:pPr>
      <w:r w:rsidRPr="004F0B1B">
        <w:rPr>
          <w:rFonts w:ascii="Arial" w:hAnsi="Arial" w:cs="Arial"/>
          <w:b/>
          <w:bCs/>
          <w:i/>
          <w:iCs/>
          <w:color w:val="000000"/>
          <w:u w:val="single"/>
        </w:rPr>
        <w:t>Catholic Children’s Aid Society of Toronto v. D.V.R. and L.C.B.</w:t>
      </w:r>
      <w:r w:rsidR="005204BC">
        <w:rPr>
          <w:rFonts w:ascii="Arial" w:hAnsi="Arial" w:cs="Arial"/>
          <w:b/>
          <w:bCs/>
          <w:color w:val="000000"/>
          <w:u w:val="single"/>
        </w:rPr>
        <w:t xml:space="preserve"> </w:t>
      </w:r>
      <w:r w:rsidR="008A680F" w:rsidRPr="008A680F">
        <w:rPr>
          <w:rFonts w:ascii="Arial" w:hAnsi="Arial" w:cs="Arial"/>
          <w:b/>
          <w:bCs/>
          <w:color w:val="000000"/>
          <w:u w:val="single"/>
        </w:rPr>
        <w:t>(2018) ONCJ 271</w:t>
      </w:r>
    </w:p>
    <w:p w14:paraId="7D5326A8" w14:textId="3B491CA1" w:rsidR="004558DA" w:rsidRDefault="004558DA" w:rsidP="004558DA">
      <w:pPr>
        <w:rPr>
          <w:rFonts w:ascii="Arial" w:hAnsi="Arial" w:cs="Arial"/>
          <w:sz w:val="24"/>
          <w:szCs w:val="24"/>
        </w:rPr>
      </w:pPr>
      <w:r>
        <w:rPr>
          <w:rFonts w:ascii="Arial" w:hAnsi="Arial" w:cs="Arial"/>
          <w:sz w:val="24"/>
          <w:szCs w:val="24"/>
        </w:rPr>
        <w:t xml:space="preserve">In most of the </w:t>
      </w:r>
      <w:r w:rsidR="00B42FC0">
        <w:rPr>
          <w:rFonts w:ascii="Arial" w:hAnsi="Arial" w:cs="Arial"/>
          <w:sz w:val="24"/>
          <w:szCs w:val="24"/>
        </w:rPr>
        <w:t>reported decisions</w:t>
      </w:r>
      <w:r>
        <w:rPr>
          <w:rFonts w:ascii="Arial" w:hAnsi="Arial" w:cs="Arial"/>
          <w:sz w:val="24"/>
          <w:szCs w:val="24"/>
        </w:rPr>
        <w:t xml:space="preserve"> where a parenting capacity assessment </w:t>
      </w:r>
      <w:r w:rsidR="00F84605">
        <w:rPr>
          <w:rFonts w:ascii="Arial" w:hAnsi="Arial" w:cs="Arial"/>
          <w:sz w:val="24"/>
          <w:szCs w:val="24"/>
        </w:rPr>
        <w:t xml:space="preserve">has been ordered or produced, at least one parent </w:t>
      </w:r>
      <w:r>
        <w:rPr>
          <w:rFonts w:ascii="Arial" w:hAnsi="Arial" w:cs="Arial"/>
          <w:sz w:val="24"/>
          <w:szCs w:val="24"/>
        </w:rPr>
        <w:t>suffers from a complex mental health condition</w:t>
      </w:r>
      <w:r w:rsidR="00D85C9E">
        <w:rPr>
          <w:rFonts w:ascii="Arial" w:hAnsi="Arial" w:cs="Arial"/>
          <w:sz w:val="24"/>
          <w:szCs w:val="24"/>
        </w:rPr>
        <w:t xml:space="preserve"> and there is concern about the impact</w:t>
      </w:r>
      <w:r w:rsidR="000A1EA5">
        <w:rPr>
          <w:rFonts w:ascii="Arial" w:hAnsi="Arial" w:cs="Arial"/>
          <w:sz w:val="24"/>
          <w:szCs w:val="24"/>
        </w:rPr>
        <w:t xml:space="preserve"> of the condition on the development and emotional well-being of the child</w:t>
      </w:r>
      <w:r>
        <w:rPr>
          <w:rFonts w:ascii="Arial" w:hAnsi="Arial" w:cs="Arial"/>
          <w:sz w:val="24"/>
          <w:szCs w:val="24"/>
        </w:rPr>
        <w:t xml:space="preserve">. </w:t>
      </w:r>
      <w:r w:rsidR="00902944">
        <w:rPr>
          <w:rFonts w:ascii="Arial" w:hAnsi="Arial" w:cs="Arial"/>
          <w:sz w:val="24"/>
          <w:szCs w:val="24"/>
        </w:rPr>
        <w:t xml:space="preserve"> </w:t>
      </w:r>
      <w:r w:rsidR="00691153">
        <w:rPr>
          <w:rFonts w:ascii="Arial" w:hAnsi="Arial" w:cs="Arial"/>
          <w:sz w:val="24"/>
          <w:szCs w:val="24"/>
        </w:rPr>
        <w:t>For example, in th</w:t>
      </w:r>
      <w:r w:rsidR="00AF5242">
        <w:rPr>
          <w:rFonts w:ascii="Arial" w:hAnsi="Arial" w:cs="Arial"/>
          <w:sz w:val="24"/>
          <w:szCs w:val="24"/>
        </w:rPr>
        <w:t xml:space="preserve">is case, </w:t>
      </w:r>
      <w:proofErr w:type="gramStart"/>
      <w:r w:rsidR="00E1234F">
        <w:rPr>
          <w:rFonts w:ascii="Arial" w:hAnsi="Arial" w:cs="Arial"/>
          <w:sz w:val="24"/>
          <w:szCs w:val="24"/>
        </w:rPr>
        <w:t>both of the parents</w:t>
      </w:r>
      <w:proofErr w:type="gramEnd"/>
      <w:r w:rsidR="00E1234F">
        <w:rPr>
          <w:rFonts w:ascii="Arial" w:hAnsi="Arial" w:cs="Arial"/>
          <w:sz w:val="24"/>
          <w:szCs w:val="24"/>
        </w:rPr>
        <w:t xml:space="preserve"> of two young children before the court struggled with a history of </w:t>
      </w:r>
      <w:r>
        <w:rPr>
          <w:rFonts w:ascii="Arial" w:hAnsi="Arial" w:cs="Arial"/>
          <w:sz w:val="24"/>
          <w:szCs w:val="24"/>
        </w:rPr>
        <w:t>mental health concerns.</w:t>
      </w:r>
      <w:r>
        <w:rPr>
          <w:rStyle w:val="FootnoteReference"/>
          <w:rFonts w:ascii="Arial" w:hAnsi="Arial" w:cs="Arial"/>
          <w:sz w:val="24"/>
          <w:szCs w:val="24"/>
        </w:rPr>
        <w:footnoteReference w:id="52"/>
      </w:r>
      <w:r>
        <w:rPr>
          <w:rFonts w:ascii="Arial" w:hAnsi="Arial" w:cs="Arial"/>
          <w:sz w:val="24"/>
          <w:szCs w:val="24"/>
        </w:rPr>
        <w:t xml:space="preserve">  The father had a </w:t>
      </w:r>
      <w:r w:rsidR="00E1234F">
        <w:rPr>
          <w:rFonts w:ascii="Arial" w:hAnsi="Arial" w:cs="Arial"/>
          <w:sz w:val="24"/>
          <w:szCs w:val="24"/>
        </w:rPr>
        <w:t xml:space="preserve">past </w:t>
      </w:r>
      <w:r>
        <w:rPr>
          <w:rFonts w:ascii="Arial" w:hAnsi="Arial" w:cs="Arial"/>
          <w:sz w:val="24"/>
          <w:szCs w:val="24"/>
        </w:rPr>
        <w:t>diagnosis of schizophrenia and the mother had a history of depression, anger issues and homelessness.  This case also highlights the methodological approach of a psychiatrist in the conduct of a parenting capacity assessment and how this differs from th</w:t>
      </w:r>
      <w:r w:rsidR="00C5244D">
        <w:rPr>
          <w:rFonts w:ascii="Arial" w:hAnsi="Arial" w:cs="Arial"/>
          <w:sz w:val="24"/>
          <w:szCs w:val="24"/>
        </w:rPr>
        <w:t>at</w:t>
      </w:r>
      <w:r>
        <w:rPr>
          <w:rFonts w:ascii="Arial" w:hAnsi="Arial" w:cs="Arial"/>
          <w:sz w:val="24"/>
          <w:szCs w:val="24"/>
        </w:rPr>
        <w:t xml:space="preserve"> of a psychologist.   </w:t>
      </w:r>
    </w:p>
    <w:p w14:paraId="00FDFAD1" w14:textId="77777777" w:rsidR="00D065F7" w:rsidRDefault="004558DA" w:rsidP="004558DA">
      <w:pPr>
        <w:rPr>
          <w:rFonts w:ascii="Arial" w:hAnsi="Arial" w:cs="Arial"/>
          <w:sz w:val="24"/>
          <w:szCs w:val="24"/>
        </w:rPr>
      </w:pPr>
      <w:r>
        <w:rPr>
          <w:rFonts w:ascii="Arial" w:hAnsi="Arial" w:cs="Arial"/>
          <w:sz w:val="24"/>
          <w:szCs w:val="24"/>
        </w:rPr>
        <w:t xml:space="preserve">At the time of the trial, the parents were living together in a subsidized apartment managed by the Canadian Mental Health Association (“CMHA”).  The trial judge heard from </w:t>
      </w:r>
      <w:proofErr w:type="gramStart"/>
      <w:r>
        <w:rPr>
          <w:rFonts w:ascii="Arial" w:hAnsi="Arial" w:cs="Arial"/>
          <w:sz w:val="24"/>
          <w:szCs w:val="24"/>
        </w:rPr>
        <w:t>a number of</w:t>
      </w:r>
      <w:proofErr w:type="gramEnd"/>
      <w:r>
        <w:rPr>
          <w:rFonts w:ascii="Arial" w:hAnsi="Arial" w:cs="Arial"/>
          <w:sz w:val="24"/>
          <w:szCs w:val="24"/>
        </w:rPr>
        <w:t xml:space="preserve"> witnesses over eight days of trial</w:t>
      </w:r>
      <w:r w:rsidR="001D2C72">
        <w:rPr>
          <w:rFonts w:ascii="Arial" w:hAnsi="Arial" w:cs="Arial"/>
          <w:sz w:val="24"/>
          <w:szCs w:val="24"/>
        </w:rPr>
        <w:t>,</w:t>
      </w:r>
      <w:r>
        <w:rPr>
          <w:rFonts w:ascii="Arial" w:hAnsi="Arial" w:cs="Arial"/>
          <w:sz w:val="24"/>
          <w:szCs w:val="24"/>
        </w:rPr>
        <w:t xml:space="preserve"> including the father’s psychiatrist</w:t>
      </w:r>
      <w:r w:rsidR="00F2390E">
        <w:rPr>
          <w:rFonts w:ascii="Arial" w:hAnsi="Arial" w:cs="Arial"/>
          <w:sz w:val="24"/>
          <w:szCs w:val="24"/>
        </w:rPr>
        <w:t>,</w:t>
      </w:r>
      <w:r>
        <w:rPr>
          <w:rFonts w:ascii="Arial" w:hAnsi="Arial" w:cs="Arial"/>
          <w:sz w:val="24"/>
          <w:szCs w:val="24"/>
        </w:rPr>
        <w:t xml:space="preserve"> whom the court summoned to attend.  The father’s psychiatrist gave evidence that the father had been substantially compliant with his treatment regime over the years.  He testified that he was not sure the diagnosis of schizophrenia still applied.  He testified that it was unusual for someone with this diagnosis to avoid hospitalization for such long periods of time and to continue to comply with the drug treatment regime.  The parents called evidence which suggested that they were more stable now and were supported socially, </w:t>
      </w:r>
      <w:proofErr w:type="gramStart"/>
      <w:r>
        <w:rPr>
          <w:rFonts w:ascii="Arial" w:hAnsi="Arial" w:cs="Arial"/>
          <w:sz w:val="24"/>
          <w:szCs w:val="24"/>
        </w:rPr>
        <w:t>emotionally</w:t>
      </w:r>
      <w:proofErr w:type="gramEnd"/>
      <w:r>
        <w:rPr>
          <w:rFonts w:ascii="Arial" w:hAnsi="Arial" w:cs="Arial"/>
          <w:sz w:val="24"/>
          <w:szCs w:val="24"/>
        </w:rPr>
        <w:t xml:space="preserve"> and financially by CMHA and various family members.  A CMHA worker testified that the parents would be offered a larger housing unit if the children were returned to their care.</w:t>
      </w:r>
      <w:r>
        <w:rPr>
          <w:rStyle w:val="FootnoteReference"/>
          <w:rFonts w:ascii="Arial" w:hAnsi="Arial" w:cs="Arial"/>
          <w:sz w:val="24"/>
          <w:szCs w:val="24"/>
        </w:rPr>
        <w:footnoteReference w:id="53"/>
      </w:r>
      <w:r>
        <w:rPr>
          <w:rFonts w:ascii="Arial" w:hAnsi="Arial" w:cs="Arial"/>
          <w:sz w:val="24"/>
          <w:szCs w:val="24"/>
        </w:rPr>
        <w:t xml:space="preserve">  </w:t>
      </w:r>
      <w:r w:rsidR="004F0B1B">
        <w:rPr>
          <w:rFonts w:ascii="Arial" w:hAnsi="Arial" w:cs="Arial"/>
          <w:sz w:val="24"/>
          <w:szCs w:val="24"/>
        </w:rPr>
        <w:t xml:space="preserve">After hearing </w:t>
      </w:r>
      <w:proofErr w:type="gramStart"/>
      <w:r w:rsidR="004F0B1B">
        <w:rPr>
          <w:rFonts w:ascii="Arial" w:hAnsi="Arial" w:cs="Arial"/>
          <w:sz w:val="24"/>
          <w:szCs w:val="24"/>
        </w:rPr>
        <w:t>all of</w:t>
      </w:r>
      <w:proofErr w:type="gramEnd"/>
      <w:r w:rsidR="004F0B1B">
        <w:rPr>
          <w:rFonts w:ascii="Arial" w:hAnsi="Arial" w:cs="Arial"/>
          <w:sz w:val="24"/>
          <w:szCs w:val="24"/>
        </w:rPr>
        <w:t xml:space="preserve"> the evidence, t</w:t>
      </w:r>
    </w:p>
    <w:p w14:paraId="79FEF4A3" w14:textId="040CFACB" w:rsidR="004558DA" w:rsidRDefault="004558DA" w:rsidP="004558DA">
      <w:pPr>
        <w:rPr>
          <w:rFonts w:ascii="Arial" w:hAnsi="Arial" w:cs="Arial"/>
          <w:sz w:val="24"/>
          <w:szCs w:val="24"/>
        </w:rPr>
      </w:pPr>
      <w:r>
        <w:rPr>
          <w:rFonts w:ascii="Arial" w:hAnsi="Arial" w:cs="Arial"/>
          <w:sz w:val="24"/>
          <w:szCs w:val="24"/>
        </w:rPr>
        <w:t xml:space="preserve">he </w:t>
      </w:r>
      <w:proofErr w:type="gramStart"/>
      <w:r>
        <w:rPr>
          <w:rFonts w:ascii="Arial" w:hAnsi="Arial" w:cs="Arial"/>
          <w:sz w:val="24"/>
          <w:szCs w:val="24"/>
        </w:rPr>
        <w:t>court</w:t>
      </w:r>
      <w:proofErr w:type="gramEnd"/>
      <w:r>
        <w:rPr>
          <w:rFonts w:ascii="Arial" w:hAnsi="Arial" w:cs="Arial"/>
          <w:sz w:val="24"/>
          <w:szCs w:val="24"/>
        </w:rPr>
        <w:t xml:space="preserve"> ordered a parenting capacity assessment on the court’s own motion.  Justice Penny Jones stated as follows:</w:t>
      </w:r>
      <w:r>
        <w:rPr>
          <w:rStyle w:val="FootnoteReference"/>
          <w:rFonts w:ascii="Arial" w:hAnsi="Arial" w:cs="Arial"/>
          <w:sz w:val="24"/>
          <w:szCs w:val="24"/>
        </w:rPr>
        <w:footnoteReference w:id="54"/>
      </w:r>
    </w:p>
    <w:p w14:paraId="44FC09ED" w14:textId="37D6335C" w:rsidR="004558DA" w:rsidRPr="002478D1" w:rsidRDefault="004558DA" w:rsidP="004558DA">
      <w:pPr>
        <w:ind w:left="720"/>
        <w:rPr>
          <w:rFonts w:ascii="Arial" w:hAnsi="Arial" w:cs="Arial"/>
          <w:sz w:val="24"/>
          <w:szCs w:val="24"/>
        </w:rPr>
      </w:pPr>
      <w:r w:rsidRPr="002478D1">
        <w:rPr>
          <w:rFonts w:ascii="Arial" w:hAnsi="Arial" w:cs="Arial"/>
          <w:sz w:val="24"/>
          <w:szCs w:val="24"/>
        </w:rPr>
        <w:t xml:space="preserve">After hearing the evidence adduced, I felt that I required further information in the form of a parenting capacity assessment </w:t>
      </w:r>
      <w:proofErr w:type="gramStart"/>
      <w:r w:rsidRPr="002478D1">
        <w:rPr>
          <w:rFonts w:ascii="Arial" w:hAnsi="Arial" w:cs="Arial"/>
          <w:sz w:val="24"/>
          <w:szCs w:val="24"/>
        </w:rPr>
        <w:t>in order to</w:t>
      </w:r>
      <w:proofErr w:type="gramEnd"/>
      <w:r w:rsidRPr="002478D1">
        <w:rPr>
          <w:rFonts w:ascii="Arial" w:hAnsi="Arial" w:cs="Arial"/>
          <w:sz w:val="24"/>
          <w:szCs w:val="24"/>
        </w:rPr>
        <w:t xml:space="preserve"> fairly decide the matter, as the evidence raised unanswered questions about mental health issues and parenting capacity. In this case, both parents suffer from mental health conditions, the father with schizophrenia and the mother with depression.  I recognize that a diagnosis of a mental illness is not determinative of the ability to parent, and that many other factors must be considered in assessing parenting capacity.  How an individual’s mental health diagnosis affects that parent’s ability to parent is a difficult question.  </w:t>
      </w:r>
    </w:p>
    <w:p w14:paraId="1415948E" w14:textId="77777777" w:rsidR="004558DA" w:rsidRDefault="004558DA" w:rsidP="004558DA">
      <w:pPr>
        <w:rPr>
          <w:rFonts w:ascii="Arial" w:hAnsi="Arial" w:cs="Arial"/>
          <w:sz w:val="24"/>
          <w:szCs w:val="24"/>
        </w:rPr>
      </w:pPr>
      <w:r>
        <w:rPr>
          <w:rFonts w:ascii="Arial" w:hAnsi="Arial" w:cs="Arial"/>
          <w:sz w:val="24"/>
          <w:szCs w:val="24"/>
        </w:rPr>
        <w:t xml:space="preserve">The court directed that the assessment should be conducted by a psychiatrist given the mental health issues of the parents.  It is worth noting that the parties encountered </w:t>
      </w:r>
      <w:r>
        <w:rPr>
          <w:rFonts w:ascii="Arial" w:hAnsi="Arial" w:cs="Arial"/>
          <w:sz w:val="24"/>
          <w:szCs w:val="24"/>
        </w:rPr>
        <w:lastRenderedPageBreak/>
        <w:t xml:space="preserve">serious difficulty in finding a psychiatrist who was both qualified and available to do the assessment.  The unfortunate result of this challenge was that the trial resumed a full 21 months after the order for the assessment had been made.  </w:t>
      </w:r>
    </w:p>
    <w:p w14:paraId="1AF0BBB1" w14:textId="27A7F753" w:rsidR="004558DA" w:rsidRDefault="00F2390E" w:rsidP="004558DA">
      <w:pPr>
        <w:rPr>
          <w:rFonts w:ascii="Arial" w:hAnsi="Arial" w:cs="Arial"/>
          <w:sz w:val="24"/>
          <w:szCs w:val="24"/>
        </w:rPr>
      </w:pPr>
      <w:r>
        <w:rPr>
          <w:rFonts w:ascii="Arial" w:hAnsi="Arial" w:cs="Arial"/>
          <w:sz w:val="24"/>
          <w:szCs w:val="24"/>
        </w:rPr>
        <w:t>The p</w:t>
      </w:r>
      <w:r w:rsidR="004558DA">
        <w:rPr>
          <w:rFonts w:ascii="Arial" w:hAnsi="Arial" w:cs="Arial"/>
          <w:sz w:val="24"/>
          <w:szCs w:val="24"/>
        </w:rPr>
        <w:t>sychiatrist, Dr. Jean Wittenberg, was qualified on consent as an expert witness in assessing parenting capacity and in making recommendations arising from such assessments.  Dr. Wittenberg testified that he has conducted between 100</w:t>
      </w:r>
      <w:r w:rsidR="00CE599D">
        <w:rPr>
          <w:rFonts w:ascii="Arial" w:hAnsi="Arial" w:cs="Arial"/>
          <w:sz w:val="24"/>
          <w:szCs w:val="24"/>
        </w:rPr>
        <w:t xml:space="preserve"> and </w:t>
      </w:r>
      <w:r w:rsidR="004558DA">
        <w:rPr>
          <w:rFonts w:ascii="Arial" w:hAnsi="Arial" w:cs="Arial"/>
          <w:sz w:val="24"/>
          <w:szCs w:val="24"/>
        </w:rPr>
        <w:t>150 parenting capacity assessments and has been qualified as an expert in assessing parenting capacity between 20</w:t>
      </w:r>
      <w:r>
        <w:rPr>
          <w:rFonts w:ascii="Arial" w:hAnsi="Arial" w:cs="Arial"/>
          <w:sz w:val="24"/>
          <w:szCs w:val="24"/>
        </w:rPr>
        <w:t xml:space="preserve"> and </w:t>
      </w:r>
      <w:r w:rsidR="004558DA">
        <w:rPr>
          <w:rFonts w:ascii="Arial" w:hAnsi="Arial" w:cs="Arial"/>
          <w:sz w:val="24"/>
          <w:szCs w:val="24"/>
        </w:rPr>
        <w:t xml:space="preserve">30 times.  Dr. Wittenberg’s </w:t>
      </w:r>
      <w:r w:rsidR="004558DA" w:rsidRPr="00FA1E17">
        <w:rPr>
          <w:rFonts w:ascii="Arial" w:hAnsi="Arial" w:cs="Arial"/>
          <w:sz w:val="24"/>
          <w:szCs w:val="24"/>
        </w:rPr>
        <w:t>methodology</w:t>
      </w:r>
      <w:r w:rsidR="004558DA">
        <w:rPr>
          <w:rFonts w:ascii="Arial" w:hAnsi="Arial" w:cs="Arial"/>
          <w:sz w:val="24"/>
          <w:szCs w:val="24"/>
        </w:rPr>
        <w:t xml:space="preserve"> was summarized by the trial judge as follows:</w:t>
      </w:r>
      <w:r w:rsidR="004558DA">
        <w:rPr>
          <w:rStyle w:val="FootnoteReference"/>
          <w:rFonts w:ascii="Arial" w:hAnsi="Arial" w:cs="Arial"/>
          <w:sz w:val="24"/>
          <w:szCs w:val="24"/>
        </w:rPr>
        <w:footnoteReference w:id="55"/>
      </w:r>
    </w:p>
    <w:p w14:paraId="205D404E" w14:textId="44B54E10" w:rsidR="004558DA" w:rsidRDefault="00CF41CA" w:rsidP="004558DA">
      <w:pPr>
        <w:ind w:left="720"/>
        <w:rPr>
          <w:rFonts w:ascii="Arial" w:hAnsi="Arial" w:cs="Arial"/>
          <w:sz w:val="24"/>
          <w:szCs w:val="24"/>
        </w:rPr>
      </w:pPr>
      <w:r>
        <w:rPr>
          <w:rFonts w:ascii="Arial" w:hAnsi="Arial" w:cs="Arial"/>
          <w:sz w:val="24"/>
          <w:szCs w:val="24"/>
        </w:rPr>
        <w:t>[</w:t>
      </w:r>
      <w:r w:rsidR="0021320A">
        <w:rPr>
          <w:rFonts w:ascii="Arial" w:hAnsi="Arial" w:cs="Arial"/>
          <w:sz w:val="24"/>
          <w:szCs w:val="24"/>
        </w:rPr>
        <w:t>49</w:t>
      </w:r>
      <w:proofErr w:type="gramStart"/>
      <w:r w:rsidR="0021320A">
        <w:rPr>
          <w:rFonts w:ascii="Arial" w:hAnsi="Arial" w:cs="Arial"/>
          <w:sz w:val="24"/>
          <w:szCs w:val="24"/>
        </w:rPr>
        <w:t xml:space="preserve">]  </w:t>
      </w:r>
      <w:r w:rsidR="004558DA">
        <w:rPr>
          <w:rFonts w:ascii="Arial" w:hAnsi="Arial" w:cs="Arial"/>
          <w:sz w:val="24"/>
          <w:szCs w:val="24"/>
        </w:rPr>
        <w:t>Dr.</w:t>
      </w:r>
      <w:proofErr w:type="gramEnd"/>
      <w:r w:rsidR="004558DA">
        <w:rPr>
          <w:rFonts w:ascii="Arial" w:hAnsi="Arial" w:cs="Arial"/>
          <w:sz w:val="24"/>
          <w:szCs w:val="24"/>
        </w:rPr>
        <w:t xml:space="preserve"> Wittenberg testified as to the process he undertakes in the preparation of such reports.  He indicated that he usually spends one day gathering information.  He begins with interviewing the workers for about an hour and a half, and he then interviews the foster parents, and children (if old enough) for about one hour.  </w:t>
      </w:r>
      <w:proofErr w:type="gramStart"/>
      <w:r w:rsidR="004558DA">
        <w:rPr>
          <w:rFonts w:ascii="Arial" w:hAnsi="Arial" w:cs="Arial"/>
          <w:sz w:val="24"/>
          <w:szCs w:val="24"/>
        </w:rPr>
        <w:t>Next</w:t>
      </w:r>
      <w:proofErr w:type="gramEnd"/>
      <w:r w:rsidR="004558DA">
        <w:rPr>
          <w:rFonts w:ascii="Arial" w:hAnsi="Arial" w:cs="Arial"/>
          <w:sz w:val="24"/>
          <w:szCs w:val="24"/>
        </w:rPr>
        <w:t xml:space="preserve"> he observes one access visit for about an hour and a half and then he interviews the parents for three hours.  He refers to this process as </w:t>
      </w:r>
      <w:proofErr w:type="gramStart"/>
      <w:r w:rsidR="004558DA">
        <w:rPr>
          <w:rFonts w:ascii="Arial" w:hAnsi="Arial" w:cs="Arial"/>
          <w:sz w:val="24"/>
          <w:szCs w:val="24"/>
        </w:rPr>
        <w:t>a ”very</w:t>
      </w:r>
      <w:proofErr w:type="gramEnd"/>
      <w:r w:rsidR="004558DA">
        <w:rPr>
          <w:rFonts w:ascii="Arial" w:hAnsi="Arial" w:cs="Arial"/>
          <w:sz w:val="24"/>
          <w:szCs w:val="24"/>
        </w:rPr>
        <w:t xml:space="preserve"> extended clinical assessment”.  It is only after these interviews that he reviews the written material sent to him by the lawyers.</w:t>
      </w:r>
    </w:p>
    <w:p w14:paraId="3478C35C" w14:textId="7A808C82" w:rsidR="004558DA" w:rsidRDefault="0021320A" w:rsidP="004558DA">
      <w:pPr>
        <w:ind w:left="720"/>
        <w:rPr>
          <w:rFonts w:ascii="Arial" w:hAnsi="Arial" w:cs="Arial"/>
          <w:sz w:val="24"/>
          <w:szCs w:val="24"/>
        </w:rPr>
      </w:pPr>
      <w:r>
        <w:rPr>
          <w:rFonts w:ascii="Arial" w:hAnsi="Arial" w:cs="Arial"/>
          <w:sz w:val="24"/>
          <w:szCs w:val="24"/>
        </w:rPr>
        <w:t>[50</w:t>
      </w:r>
      <w:proofErr w:type="gramStart"/>
      <w:r>
        <w:rPr>
          <w:rFonts w:ascii="Arial" w:hAnsi="Arial" w:cs="Arial"/>
          <w:sz w:val="24"/>
          <w:szCs w:val="24"/>
        </w:rPr>
        <w:t xml:space="preserve">]  </w:t>
      </w:r>
      <w:r w:rsidR="004558DA">
        <w:rPr>
          <w:rFonts w:ascii="Arial" w:hAnsi="Arial" w:cs="Arial"/>
          <w:sz w:val="24"/>
          <w:szCs w:val="24"/>
        </w:rPr>
        <w:t>Dr.</w:t>
      </w:r>
      <w:proofErr w:type="gramEnd"/>
      <w:r w:rsidR="004558DA">
        <w:rPr>
          <w:rFonts w:ascii="Arial" w:hAnsi="Arial" w:cs="Arial"/>
          <w:sz w:val="24"/>
          <w:szCs w:val="24"/>
        </w:rPr>
        <w:t xml:space="preserve"> Wittenberg indicated that it is not his usual practice to request any psychological testing of the people he is assessing.  It was his opinion that such tests were never designed for the child welfare population and that there is no evidence that such tests are better predictors of the quality of parenting overall than a good clinical assessment.  As well, it was his opinion that multiple observed access visits would put him in no better position to understand what is going on between the children and the parents than the single access visit that he traditionally observes.  He said he has done thousands of assessments of children and families in his work, and he has found that he can pick up a lot of information by seeing parents with children and much of that information comes from non-verbal interactions.  He acknowledged that there is a difference between the approach taken by a psychiatrist in conducting a parenting capacity assessment and a psychologist, but he expected that the findings made in an assessment of the same family by a qualified assessor in either discipline would come to substantially the same conclusions.</w:t>
      </w:r>
    </w:p>
    <w:p w14:paraId="17EB5DCA" w14:textId="62FF8C27" w:rsidR="004558DA" w:rsidRDefault="004558DA" w:rsidP="004558DA">
      <w:pPr>
        <w:rPr>
          <w:rFonts w:ascii="Arial" w:hAnsi="Arial" w:cs="Arial"/>
          <w:sz w:val="24"/>
          <w:szCs w:val="24"/>
        </w:rPr>
      </w:pPr>
      <w:r>
        <w:rPr>
          <w:rFonts w:ascii="Arial" w:hAnsi="Arial" w:cs="Arial"/>
          <w:sz w:val="24"/>
          <w:szCs w:val="24"/>
        </w:rPr>
        <w:t xml:space="preserve">After completing the assessment, Dr. Wittenberg gave the opinion that the parents were unable to meet the needs of their children.  He testified that the father </w:t>
      </w:r>
      <w:r w:rsidR="00F94F36">
        <w:rPr>
          <w:rFonts w:ascii="Arial" w:hAnsi="Arial" w:cs="Arial"/>
          <w:sz w:val="24"/>
          <w:szCs w:val="24"/>
        </w:rPr>
        <w:t>would repeatedly</w:t>
      </w:r>
      <w:r>
        <w:rPr>
          <w:rFonts w:ascii="Arial" w:hAnsi="Arial" w:cs="Arial"/>
          <w:sz w:val="24"/>
          <w:szCs w:val="24"/>
        </w:rPr>
        <w:t xml:space="preserve"> withdraw emotionally or physically from the children and that he was insensitive to the children’s cues and safety </w:t>
      </w:r>
      <w:r w:rsidR="00BB02C0">
        <w:rPr>
          <w:rFonts w:ascii="Arial" w:hAnsi="Arial" w:cs="Arial"/>
          <w:sz w:val="24"/>
          <w:szCs w:val="24"/>
        </w:rPr>
        <w:t>concerns</w:t>
      </w:r>
      <w:r>
        <w:rPr>
          <w:rFonts w:ascii="Arial" w:hAnsi="Arial" w:cs="Arial"/>
          <w:sz w:val="24"/>
          <w:szCs w:val="24"/>
        </w:rPr>
        <w:t xml:space="preserve">.  Dr. Wittenberg testified that the father’s serious mental illness and the medications he took to control the symptoms may well have contributed to </w:t>
      </w:r>
      <w:r w:rsidR="004E5AF9">
        <w:rPr>
          <w:rFonts w:ascii="Arial" w:hAnsi="Arial" w:cs="Arial"/>
          <w:sz w:val="24"/>
          <w:szCs w:val="24"/>
        </w:rPr>
        <w:t xml:space="preserve">his </w:t>
      </w:r>
      <w:r>
        <w:rPr>
          <w:rFonts w:ascii="Arial" w:hAnsi="Arial" w:cs="Arial"/>
          <w:sz w:val="24"/>
          <w:szCs w:val="24"/>
        </w:rPr>
        <w:t xml:space="preserve">behaviour.  </w:t>
      </w:r>
      <w:r w:rsidR="004E5AF9">
        <w:rPr>
          <w:rFonts w:ascii="Arial" w:hAnsi="Arial" w:cs="Arial"/>
          <w:sz w:val="24"/>
          <w:szCs w:val="24"/>
        </w:rPr>
        <w:t xml:space="preserve">Dr. Wittenberg assessed that, </w:t>
      </w:r>
      <w:r>
        <w:rPr>
          <w:rFonts w:ascii="Arial" w:hAnsi="Arial" w:cs="Arial"/>
          <w:sz w:val="24"/>
          <w:szCs w:val="24"/>
        </w:rPr>
        <w:t xml:space="preserve">over time, the father’s issues would result in an “accumulation of neglect”.  He noted that the father was doing </w:t>
      </w:r>
      <w:r>
        <w:rPr>
          <w:rFonts w:ascii="Arial" w:hAnsi="Arial" w:cs="Arial"/>
          <w:sz w:val="24"/>
          <w:szCs w:val="24"/>
        </w:rPr>
        <w:lastRenderedPageBreak/>
        <w:t xml:space="preserve">his best to deal with his </w:t>
      </w:r>
      <w:proofErr w:type="gramStart"/>
      <w:r>
        <w:rPr>
          <w:rFonts w:ascii="Arial" w:hAnsi="Arial" w:cs="Arial"/>
          <w:sz w:val="24"/>
          <w:szCs w:val="24"/>
        </w:rPr>
        <w:t>issues</w:t>
      </w:r>
      <w:proofErr w:type="gramEnd"/>
      <w:r>
        <w:rPr>
          <w:rFonts w:ascii="Arial" w:hAnsi="Arial" w:cs="Arial"/>
          <w:sz w:val="24"/>
          <w:szCs w:val="24"/>
        </w:rPr>
        <w:t xml:space="preserve"> but he would worry about the effect of the father’s behaviour on the children.</w:t>
      </w:r>
      <w:r w:rsidR="00D66F81">
        <w:rPr>
          <w:rStyle w:val="FootnoteReference"/>
          <w:rFonts w:ascii="Arial" w:hAnsi="Arial" w:cs="Arial"/>
          <w:sz w:val="24"/>
          <w:szCs w:val="24"/>
        </w:rPr>
        <w:footnoteReference w:id="56"/>
      </w:r>
      <w:r>
        <w:rPr>
          <w:rFonts w:ascii="Arial" w:hAnsi="Arial" w:cs="Arial"/>
          <w:sz w:val="24"/>
          <w:szCs w:val="24"/>
        </w:rPr>
        <w:t xml:space="preserve">  </w:t>
      </w:r>
    </w:p>
    <w:p w14:paraId="3B79DF28" w14:textId="77777777" w:rsidR="004558DA" w:rsidRDefault="004558DA" w:rsidP="004558DA">
      <w:pPr>
        <w:rPr>
          <w:rFonts w:ascii="Arial" w:hAnsi="Arial" w:cs="Arial"/>
          <w:sz w:val="24"/>
          <w:szCs w:val="24"/>
        </w:rPr>
      </w:pPr>
      <w:r>
        <w:rPr>
          <w:rFonts w:ascii="Arial" w:hAnsi="Arial" w:cs="Arial"/>
          <w:sz w:val="24"/>
          <w:szCs w:val="24"/>
        </w:rPr>
        <w:t xml:space="preserve">Dr. Wittenberg also diagnosed the mother with a significant personality disorder that resulted in frequent bouts of anger and feelings of being under attack or threatened by those around her.  He testified that both parents “have histories of many years of dysfunction” and that he expects little change in this pattern over time in the future.  Based on his review of the history, he observed that the parents were only intermittently open to collaboration with the Society.  He testified that it would be </w:t>
      </w:r>
      <w:r w:rsidRPr="00C052CE">
        <w:rPr>
          <w:rFonts w:ascii="Arial" w:hAnsi="Arial" w:cs="Arial"/>
          <w:sz w:val="24"/>
          <w:szCs w:val="24"/>
        </w:rPr>
        <w:t>traumatizing</w:t>
      </w:r>
      <w:r>
        <w:rPr>
          <w:rFonts w:ascii="Arial" w:hAnsi="Arial" w:cs="Arial"/>
          <w:sz w:val="24"/>
          <w:szCs w:val="24"/>
        </w:rPr>
        <w:t xml:space="preserve"> to the children were they to return to the care of the parents.</w:t>
      </w:r>
      <w:r>
        <w:rPr>
          <w:rStyle w:val="FootnoteReference"/>
          <w:rFonts w:ascii="Arial" w:hAnsi="Arial" w:cs="Arial"/>
          <w:sz w:val="24"/>
          <w:szCs w:val="24"/>
        </w:rPr>
        <w:footnoteReference w:id="57"/>
      </w:r>
    </w:p>
    <w:p w14:paraId="4D72D407" w14:textId="07B47205" w:rsidR="004558DA" w:rsidRDefault="004558DA" w:rsidP="004558DA">
      <w:pPr>
        <w:rPr>
          <w:rFonts w:ascii="Arial" w:hAnsi="Arial" w:cs="Arial"/>
          <w:sz w:val="24"/>
          <w:szCs w:val="24"/>
        </w:rPr>
      </w:pPr>
      <w:r>
        <w:rPr>
          <w:rFonts w:ascii="Arial" w:hAnsi="Arial" w:cs="Arial"/>
          <w:sz w:val="24"/>
          <w:szCs w:val="24"/>
        </w:rPr>
        <w:t xml:space="preserve">The court accepted Dr. Wittenberg’s expert opinion evidence about the impact of the parents’ mental health conditions, and the parenting behaviours that were driven by these conditions, on the healthy development and emotional well-being of the children. The court also reviewed in her decision the evidence of the workers that was corroborative of Dr. Wittenberg’s opinion evidence.  In addition, she commented on her own observations of the mother’s angry behaviour towards others in the courtroom.  The court made the </w:t>
      </w:r>
      <w:r w:rsidR="00A11721">
        <w:rPr>
          <w:rFonts w:ascii="Arial" w:hAnsi="Arial" w:cs="Arial"/>
          <w:sz w:val="24"/>
          <w:szCs w:val="24"/>
        </w:rPr>
        <w:t>C</w:t>
      </w:r>
      <w:r>
        <w:rPr>
          <w:rFonts w:ascii="Arial" w:hAnsi="Arial" w:cs="Arial"/>
          <w:sz w:val="24"/>
          <w:szCs w:val="24"/>
        </w:rPr>
        <w:t xml:space="preserve">rown </w:t>
      </w:r>
      <w:r w:rsidR="008E257E">
        <w:rPr>
          <w:rFonts w:ascii="Arial" w:hAnsi="Arial" w:cs="Arial"/>
          <w:sz w:val="24"/>
          <w:szCs w:val="24"/>
        </w:rPr>
        <w:t>W</w:t>
      </w:r>
      <w:r>
        <w:rPr>
          <w:rFonts w:ascii="Arial" w:hAnsi="Arial" w:cs="Arial"/>
          <w:sz w:val="24"/>
          <w:szCs w:val="24"/>
        </w:rPr>
        <w:t>ardship order being sought by the Society.</w:t>
      </w:r>
      <w:r>
        <w:rPr>
          <w:rStyle w:val="FootnoteReference"/>
          <w:rFonts w:ascii="Arial" w:hAnsi="Arial" w:cs="Arial"/>
          <w:sz w:val="24"/>
          <w:szCs w:val="24"/>
        </w:rPr>
        <w:footnoteReference w:id="58"/>
      </w:r>
    </w:p>
    <w:p w14:paraId="46592D2F" w14:textId="38920809" w:rsidR="0077088E" w:rsidRDefault="004558DA" w:rsidP="003070AE">
      <w:pPr>
        <w:rPr>
          <w:rFonts w:ascii="Arial" w:hAnsi="Arial" w:cs="Arial"/>
          <w:sz w:val="24"/>
          <w:szCs w:val="24"/>
        </w:rPr>
      </w:pPr>
      <w:r>
        <w:rPr>
          <w:rFonts w:ascii="Arial" w:hAnsi="Arial" w:cs="Arial"/>
          <w:sz w:val="24"/>
          <w:szCs w:val="24"/>
        </w:rPr>
        <w:t xml:space="preserve">It is important to underscore that it was the court in this case who initiated the process for obtaining a parenting capacity assessment to better understand the impact of the mental health issues on the parents’ behaviour and the impact of that behaviour on the development and well-being of the children.  The court found that this additional clinical evidence was </w:t>
      </w:r>
      <w:proofErr w:type="gramStart"/>
      <w:r w:rsidRPr="003D07AD">
        <w:rPr>
          <w:rFonts w:ascii="Arial" w:hAnsi="Arial" w:cs="Arial"/>
          <w:i/>
          <w:iCs/>
          <w:sz w:val="24"/>
          <w:szCs w:val="24"/>
        </w:rPr>
        <w:t>necessary</w:t>
      </w:r>
      <w:proofErr w:type="gramEnd"/>
      <w:r>
        <w:rPr>
          <w:rFonts w:ascii="Arial" w:hAnsi="Arial" w:cs="Arial"/>
          <w:sz w:val="24"/>
          <w:szCs w:val="24"/>
        </w:rPr>
        <w:t xml:space="preserve"> and it assisted the trial judge to make the </w:t>
      </w:r>
      <w:r w:rsidR="003D07AD">
        <w:rPr>
          <w:rFonts w:ascii="Arial" w:hAnsi="Arial" w:cs="Arial"/>
          <w:sz w:val="24"/>
          <w:szCs w:val="24"/>
        </w:rPr>
        <w:t>required</w:t>
      </w:r>
      <w:r>
        <w:rPr>
          <w:rFonts w:ascii="Arial" w:hAnsi="Arial" w:cs="Arial"/>
          <w:sz w:val="24"/>
          <w:szCs w:val="24"/>
        </w:rPr>
        <w:t xml:space="preserve"> disposition determinations in the case.  </w:t>
      </w:r>
      <w:r w:rsidR="004B4B5B">
        <w:rPr>
          <w:rFonts w:ascii="Arial" w:hAnsi="Arial" w:cs="Arial"/>
          <w:sz w:val="24"/>
          <w:szCs w:val="24"/>
        </w:rPr>
        <w:t>Even though the court found it to be necessary, t</w:t>
      </w:r>
      <w:r>
        <w:rPr>
          <w:rFonts w:ascii="Arial" w:hAnsi="Arial" w:cs="Arial"/>
          <w:sz w:val="24"/>
          <w:szCs w:val="24"/>
        </w:rPr>
        <w:t xml:space="preserve">he detailed reasons of the court make it clear that the opinion evidence was treated as just one piece of the evidentiary picture.  The court was able to skillfully evaluate how the assessor’s findings should be weighed within the context of the other evidence heard </w:t>
      </w:r>
      <w:proofErr w:type="gramStart"/>
      <w:r>
        <w:rPr>
          <w:rFonts w:ascii="Arial" w:hAnsi="Arial" w:cs="Arial"/>
          <w:sz w:val="24"/>
          <w:szCs w:val="24"/>
        </w:rPr>
        <w:t>during the course of</w:t>
      </w:r>
      <w:proofErr w:type="gramEnd"/>
      <w:r>
        <w:rPr>
          <w:rFonts w:ascii="Arial" w:hAnsi="Arial" w:cs="Arial"/>
          <w:sz w:val="24"/>
          <w:szCs w:val="24"/>
        </w:rPr>
        <w:t xml:space="preserve"> the trial.  </w:t>
      </w:r>
    </w:p>
    <w:p w14:paraId="1812F11C" w14:textId="6B3F3FBC" w:rsidR="00872477" w:rsidRPr="00DD3B53" w:rsidRDefault="0077088E" w:rsidP="003070AE">
      <w:pPr>
        <w:rPr>
          <w:rFonts w:ascii="Arial" w:hAnsi="Arial" w:cs="Arial"/>
          <w:b/>
          <w:bCs/>
          <w:sz w:val="24"/>
          <w:szCs w:val="24"/>
          <w:u w:val="single"/>
        </w:rPr>
      </w:pPr>
      <w:r w:rsidRPr="00DD3B53">
        <w:rPr>
          <w:rFonts w:ascii="Arial" w:hAnsi="Arial" w:cs="Arial"/>
          <w:b/>
          <w:bCs/>
          <w:i/>
          <w:iCs/>
          <w:sz w:val="24"/>
          <w:szCs w:val="24"/>
          <w:u w:val="single"/>
        </w:rPr>
        <w:t>Huron-Perth Children’s Aid Society and A.C. and J.S.-</w:t>
      </w:r>
      <w:r w:rsidR="009B5F78">
        <w:rPr>
          <w:rFonts w:ascii="Arial" w:hAnsi="Arial" w:cs="Arial"/>
          <w:b/>
          <w:bCs/>
          <w:i/>
          <w:iCs/>
          <w:sz w:val="24"/>
          <w:szCs w:val="24"/>
          <w:u w:val="single"/>
        </w:rPr>
        <w:t xml:space="preserve"> </w:t>
      </w:r>
      <w:r w:rsidRPr="00DD3B53">
        <w:rPr>
          <w:rFonts w:ascii="Arial" w:hAnsi="Arial" w:cs="Arial"/>
          <w:b/>
          <w:bCs/>
          <w:i/>
          <w:iCs/>
          <w:sz w:val="24"/>
          <w:szCs w:val="24"/>
          <w:u w:val="single"/>
        </w:rPr>
        <w:t>H.</w:t>
      </w:r>
      <w:r w:rsidRPr="00DD3B53">
        <w:rPr>
          <w:rFonts w:ascii="Arial" w:hAnsi="Arial" w:cs="Arial"/>
          <w:b/>
          <w:bCs/>
          <w:sz w:val="24"/>
          <w:szCs w:val="24"/>
          <w:u w:val="single"/>
        </w:rPr>
        <w:t xml:space="preserve"> </w:t>
      </w:r>
      <w:r w:rsidR="00DD3B53" w:rsidRPr="00DD3B53">
        <w:rPr>
          <w:rFonts w:ascii="Arial" w:hAnsi="Arial" w:cs="Arial"/>
          <w:b/>
          <w:bCs/>
          <w:sz w:val="24"/>
          <w:szCs w:val="24"/>
          <w:u w:val="single"/>
        </w:rPr>
        <w:t>2020 ONCJ 251</w:t>
      </w:r>
      <w:r w:rsidR="004558DA" w:rsidRPr="00DD3B53">
        <w:rPr>
          <w:rFonts w:ascii="Arial" w:hAnsi="Arial" w:cs="Arial"/>
          <w:b/>
          <w:bCs/>
          <w:sz w:val="24"/>
          <w:szCs w:val="24"/>
          <w:u w:val="single"/>
        </w:rPr>
        <w:t xml:space="preserve"> </w:t>
      </w:r>
    </w:p>
    <w:p w14:paraId="3A9B9295" w14:textId="16558E42" w:rsidR="004558DA" w:rsidRDefault="00AF0EEE" w:rsidP="003070AE">
      <w:pPr>
        <w:rPr>
          <w:rFonts w:ascii="Arial" w:hAnsi="Arial" w:cs="Arial"/>
          <w:sz w:val="24"/>
          <w:szCs w:val="24"/>
        </w:rPr>
      </w:pPr>
      <w:r>
        <w:rPr>
          <w:rFonts w:ascii="Arial" w:hAnsi="Arial" w:cs="Arial"/>
          <w:sz w:val="24"/>
          <w:szCs w:val="24"/>
        </w:rPr>
        <w:t>T</w:t>
      </w:r>
      <w:r w:rsidR="00ED627E">
        <w:rPr>
          <w:rFonts w:ascii="Arial" w:hAnsi="Arial" w:cs="Arial"/>
          <w:sz w:val="24"/>
          <w:szCs w:val="24"/>
        </w:rPr>
        <w:t xml:space="preserve">he </w:t>
      </w:r>
      <w:r w:rsidR="00277FC9">
        <w:rPr>
          <w:rFonts w:ascii="Arial" w:hAnsi="Arial" w:cs="Arial"/>
          <w:sz w:val="24"/>
          <w:szCs w:val="24"/>
        </w:rPr>
        <w:t>case management judge in this case</w:t>
      </w:r>
      <w:r w:rsidR="007E6563">
        <w:rPr>
          <w:rFonts w:ascii="Arial" w:hAnsi="Arial" w:cs="Arial"/>
          <w:sz w:val="24"/>
          <w:szCs w:val="24"/>
        </w:rPr>
        <w:t xml:space="preserve"> also found that a parenting capacity assessment was necessary to properly determine the issues in the case.  The </w:t>
      </w:r>
      <w:r w:rsidR="00ED627E">
        <w:rPr>
          <w:rFonts w:ascii="Arial" w:hAnsi="Arial" w:cs="Arial"/>
          <w:sz w:val="24"/>
          <w:szCs w:val="24"/>
        </w:rPr>
        <w:t>protection concerns were focused on transiency, neglect, domestic violence</w:t>
      </w:r>
      <w:r w:rsidR="00A31B59">
        <w:rPr>
          <w:rFonts w:ascii="Arial" w:hAnsi="Arial" w:cs="Arial"/>
          <w:sz w:val="24"/>
          <w:szCs w:val="24"/>
        </w:rPr>
        <w:t xml:space="preserve">, parental </w:t>
      </w:r>
      <w:proofErr w:type="gramStart"/>
      <w:r w:rsidR="00A31B59">
        <w:rPr>
          <w:rFonts w:ascii="Arial" w:hAnsi="Arial" w:cs="Arial"/>
          <w:sz w:val="24"/>
          <w:szCs w:val="24"/>
        </w:rPr>
        <w:t>capacity</w:t>
      </w:r>
      <w:proofErr w:type="gramEnd"/>
      <w:r w:rsidR="00A31B59">
        <w:rPr>
          <w:rFonts w:ascii="Arial" w:hAnsi="Arial" w:cs="Arial"/>
          <w:sz w:val="24"/>
          <w:szCs w:val="24"/>
        </w:rPr>
        <w:t xml:space="preserve"> and the low intellectual functioning of the parents.  At the time of the trial, the two subject children were 5 and 4 years of age.  </w:t>
      </w:r>
      <w:r w:rsidR="00047F86">
        <w:rPr>
          <w:rFonts w:ascii="Arial" w:hAnsi="Arial" w:cs="Arial"/>
          <w:sz w:val="24"/>
          <w:szCs w:val="24"/>
        </w:rPr>
        <w:t xml:space="preserve">The parents had a history of involvement with multiple child protection agencies dating back to the birth </w:t>
      </w:r>
      <w:r w:rsidR="000B1025">
        <w:rPr>
          <w:rFonts w:ascii="Arial" w:hAnsi="Arial" w:cs="Arial"/>
          <w:sz w:val="24"/>
          <w:szCs w:val="24"/>
        </w:rPr>
        <w:t xml:space="preserve">of their first child.  </w:t>
      </w:r>
      <w:r w:rsidR="005E4FE4">
        <w:rPr>
          <w:rFonts w:ascii="Arial" w:hAnsi="Arial" w:cs="Arial"/>
          <w:sz w:val="24"/>
          <w:szCs w:val="24"/>
        </w:rPr>
        <w:t>The Society was seeking an order of extended care</w:t>
      </w:r>
      <w:r w:rsidR="002C4384">
        <w:rPr>
          <w:rFonts w:ascii="Arial" w:hAnsi="Arial" w:cs="Arial"/>
          <w:sz w:val="24"/>
          <w:szCs w:val="24"/>
        </w:rPr>
        <w:t xml:space="preserve">.  </w:t>
      </w:r>
    </w:p>
    <w:p w14:paraId="3C47B557" w14:textId="6DF6D1A8" w:rsidR="000D3D94" w:rsidRDefault="002C4384" w:rsidP="000D3D94">
      <w:pPr>
        <w:rPr>
          <w:rFonts w:ascii="Arial" w:hAnsi="Arial" w:cs="Arial"/>
          <w:sz w:val="24"/>
          <w:szCs w:val="24"/>
        </w:rPr>
      </w:pPr>
      <w:r>
        <w:rPr>
          <w:rFonts w:ascii="Arial" w:hAnsi="Arial" w:cs="Arial"/>
          <w:sz w:val="24"/>
          <w:szCs w:val="24"/>
        </w:rPr>
        <w:t xml:space="preserve">A parenting capacity assessment was </w:t>
      </w:r>
      <w:r w:rsidR="00F97746">
        <w:rPr>
          <w:rFonts w:ascii="Arial" w:hAnsi="Arial" w:cs="Arial"/>
          <w:sz w:val="24"/>
          <w:szCs w:val="24"/>
        </w:rPr>
        <w:t xml:space="preserve">ordered on consent under section 98 of the </w:t>
      </w:r>
      <w:r w:rsidR="00F97746" w:rsidRPr="00F97746">
        <w:rPr>
          <w:rFonts w:ascii="Arial" w:hAnsi="Arial" w:cs="Arial"/>
          <w:i/>
          <w:iCs/>
          <w:sz w:val="24"/>
          <w:szCs w:val="24"/>
        </w:rPr>
        <w:t>C</w:t>
      </w:r>
      <w:r w:rsidR="00D73773">
        <w:rPr>
          <w:rFonts w:ascii="Arial" w:hAnsi="Arial" w:cs="Arial"/>
          <w:i/>
          <w:iCs/>
          <w:sz w:val="24"/>
          <w:szCs w:val="24"/>
        </w:rPr>
        <w:t xml:space="preserve">hild, Youth and Family Services Act, </w:t>
      </w:r>
      <w:r w:rsidR="00D73773">
        <w:rPr>
          <w:rFonts w:ascii="Arial" w:hAnsi="Arial" w:cs="Arial"/>
          <w:sz w:val="24"/>
          <w:szCs w:val="24"/>
        </w:rPr>
        <w:t>2017</w:t>
      </w:r>
      <w:r w:rsidR="005A237A">
        <w:rPr>
          <w:rFonts w:ascii="Arial" w:hAnsi="Arial" w:cs="Arial"/>
          <w:sz w:val="24"/>
          <w:szCs w:val="24"/>
        </w:rPr>
        <w:t xml:space="preserve"> prior to the trial</w:t>
      </w:r>
      <w:r w:rsidR="00F97746">
        <w:rPr>
          <w:rFonts w:ascii="Arial" w:hAnsi="Arial" w:cs="Arial"/>
          <w:sz w:val="24"/>
          <w:szCs w:val="24"/>
        </w:rPr>
        <w:t xml:space="preserve">. </w:t>
      </w:r>
      <w:r w:rsidR="002E3CC0">
        <w:rPr>
          <w:rFonts w:ascii="Arial" w:hAnsi="Arial" w:cs="Arial"/>
          <w:sz w:val="24"/>
          <w:szCs w:val="24"/>
        </w:rPr>
        <w:t xml:space="preserve"> The assessor</w:t>
      </w:r>
      <w:r w:rsidR="00BE65C4">
        <w:rPr>
          <w:rFonts w:ascii="Arial" w:hAnsi="Arial" w:cs="Arial"/>
          <w:sz w:val="24"/>
          <w:szCs w:val="24"/>
        </w:rPr>
        <w:t xml:space="preserve">, Dr. </w:t>
      </w:r>
      <w:r w:rsidR="00F939F9">
        <w:rPr>
          <w:rFonts w:ascii="Arial" w:hAnsi="Arial" w:cs="Arial"/>
          <w:sz w:val="24"/>
          <w:szCs w:val="24"/>
        </w:rPr>
        <w:lastRenderedPageBreak/>
        <w:t>Kimberly Harris,</w:t>
      </w:r>
      <w:r w:rsidR="002E3CC0">
        <w:rPr>
          <w:rFonts w:ascii="Arial" w:hAnsi="Arial" w:cs="Arial"/>
          <w:sz w:val="24"/>
          <w:szCs w:val="24"/>
        </w:rPr>
        <w:t xml:space="preserve"> </w:t>
      </w:r>
      <w:r w:rsidR="003E3CA8">
        <w:rPr>
          <w:rFonts w:ascii="Arial" w:hAnsi="Arial" w:cs="Arial"/>
          <w:sz w:val="24"/>
          <w:szCs w:val="24"/>
        </w:rPr>
        <w:t xml:space="preserve">was </w:t>
      </w:r>
      <w:r w:rsidR="00921B8B">
        <w:rPr>
          <w:rFonts w:ascii="Arial" w:hAnsi="Arial" w:cs="Arial"/>
          <w:sz w:val="24"/>
          <w:szCs w:val="24"/>
        </w:rPr>
        <w:t xml:space="preserve">registered with the College of Psychologists </w:t>
      </w:r>
      <w:r w:rsidR="00E502BA">
        <w:rPr>
          <w:rFonts w:ascii="Arial" w:hAnsi="Arial" w:cs="Arial"/>
          <w:sz w:val="24"/>
          <w:szCs w:val="24"/>
        </w:rPr>
        <w:t>of Ontario and was authorized to practice in the fields of c</w:t>
      </w:r>
      <w:r w:rsidR="00882BD6">
        <w:rPr>
          <w:rFonts w:ascii="Arial" w:hAnsi="Arial" w:cs="Arial"/>
          <w:sz w:val="24"/>
          <w:szCs w:val="24"/>
        </w:rPr>
        <w:t>linical and forensic</w:t>
      </w:r>
      <w:r w:rsidR="00E502BA">
        <w:rPr>
          <w:rFonts w:ascii="Arial" w:hAnsi="Arial" w:cs="Arial"/>
          <w:sz w:val="24"/>
          <w:szCs w:val="24"/>
        </w:rPr>
        <w:t>/correctional psychology.</w:t>
      </w:r>
      <w:r w:rsidR="00882BD6">
        <w:rPr>
          <w:rFonts w:ascii="Arial" w:hAnsi="Arial" w:cs="Arial"/>
          <w:sz w:val="24"/>
          <w:szCs w:val="24"/>
        </w:rPr>
        <w:t xml:space="preserve"> </w:t>
      </w:r>
      <w:r w:rsidR="00F939F9">
        <w:rPr>
          <w:rFonts w:ascii="Arial" w:hAnsi="Arial" w:cs="Arial"/>
          <w:sz w:val="24"/>
          <w:szCs w:val="24"/>
        </w:rPr>
        <w:t xml:space="preserve"> She </w:t>
      </w:r>
      <w:r w:rsidR="00A3275D">
        <w:rPr>
          <w:rFonts w:ascii="Arial" w:hAnsi="Arial" w:cs="Arial"/>
          <w:sz w:val="24"/>
          <w:szCs w:val="24"/>
        </w:rPr>
        <w:t xml:space="preserve">was </w:t>
      </w:r>
      <w:r w:rsidR="00F939F9">
        <w:rPr>
          <w:rFonts w:ascii="Arial" w:hAnsi="Arial" w:cs="Arial"/>
          <w:sz w:val="24"/>
          <w:szCs w:val="24"/>
        </w:rPr>
        <w:t xml:space="preserve">also </w:t>
      </w:r>
      <w:r w:rsidR="00A3275D">
        <w:rPr>
          <w:rFonts w:ascii="Arial" w:hAnsi="Arial" w:cs="Arial"/>
          <w:sz w:val="24"/>
          <w:szCs w:val="24"/>
        </w:rPr>
        <w:t xml:space="preserve">the Assistant Executive Director and </w:t>
      </w:r>
      <w:r w:rsidR="00882BD6">
        <w:rPr>
          <w:rFonts w:ascii="Arial" w:hAnsi="Arial" w:cs="Arial"/>
          <w:sz w:val="24"/>
          <w:szCs w:val="24"/>
        </w:rPr>
        <w:t xml:space="preserve">Director of Assessment Services at the London Family Court Clinic.  </w:t>
      </w:r>
      <w:r w:rsidR="000D3D94">
        <w:rPr>
          <w:rFonts w:ascii="Arial" w:hAnsi="Arial" w:cs="Arial"/>
          <w:sz w:val="24"/>
          <w:szCs w:val="24"/>
        </w:rPr>
        <w:t>The trial judge pointed out that, “at the time the s. 98 order for the assessment was made, all parties and the court agreed that the assessment was necessary for the court to make a determination regarding what disposition was in the children’s best interests”</w:t>
      </w:r>
      <w:r w:rsidR="00E322A1">
        <w:rPr>
          <w:rFonts w:ascii="Arial" w:hAnsi="Arial" w:cs="Arial"/>
          <w:sz w:val="24"/>
          <w:szCs w:val="24"/>
        </w:rPr>
        <w:t>.</w:t>
      </w:r>
      <w:r w:rsidR="000D3D94">
        <w:rPr>
          <w:rStyle w:val="FootnoteReference"/>
          <w:rFonts w:ascii="Arial" w:hAnsi="Arial" w:cs="Arial"/>
          <w:sz w:val="24"/>
          <w:szCs w:val="24"/>
        </w:rPr>
        <w:footnoteReference w:id="59"/>
      </w:r>
    </w:p>
    <w:p w14:paraId="20084532" w14:textId="2604941D" w:rsidR="000D3D94" w:rsidRDefault="002A6FA7" w:rsidP="003070AE">
      <w:pPr>
        <w:rPr>
          <w:rFonts w:ascii="Arial" w:hAnsi="Arial" w:cs="Arial"/>
          <w:sz w:val="24"/>
          <w:szCs w:val="24"/>
        </w:rPr>
      </w:pPr>
      <w:r>
        <w:rPr>
          <w:rFonts w:ascii="Arial" w:hAnsi="Arial" w:cs="Arial"/>
          <w:sz w:val="24"/>
          <w:szCs w:val="24"/>
        </w:rPr>
        <w:t xml:space="preserve">After a </w:t>
      </w:r>
      <w:proofErr w:type="spellStart"/>
      <w:r w:rsidRPr="005A237A">
        <w:rPr>
          <w:rFonts w:ascii="Arial" w:hAnsi="Arial" w:cs="Arial"/>
          <w:i/>
          <w:iCs/>
          <w:sz w:val="24"/>
          <w:szCs w:val="24"/>
        </w:rPr>
        <w:t>voir</w:t>
      </w:r>
      <w:proofErr w:type="spellEnd"/>
      <w:r w:rsidRPr="005A237A">
        <w:rPr>
          <w:rFonts w:ascii="Arial" w:hAnsi="Arial" w:cs="Arial"/>
          <w:i/>
          <w:iCs/>
          <w:sz w:val="24"/>
          <w:szCs w:val="24"/>
        </w:rPr>
        <w:t xml:space="preserve"> dire</w:t>
      </w:r>
      <w:r>
        <w:rPr>
          <w:rFonts w:ascii="Arial" w:hAnsi="Arial" w:cs="Arial"/>
          <w:sz w:val="24"/>
          <w:szCs w:val="24"/>
        </w:rPr>
        <w:t xml:space="preserve">, Dr. Harris </w:t>
      </w:r>
      <w:r w:rsidR="007A2FA9">
        <w:rPr>
          <w:rFonts w:ascii="Arial" w:hAnsi="Arial" w:cs="Arial"/>
          <w:sz w:val="24"/>
          <w:szCs w:val="24"/>
        </w:rPr>
        <w:t>was qualified as an expert in the areas of parent capacity assessment</w:t>
      </w:r>
      <w:r w:rsidR="00556F7D">
        <w:rPr>
          <w:rFonts w:ascii="Arial" w:hAnsi="Arial" w:cs="Arial"/>
          <w:sz w:val="24"/>
          <w:szCs w:val="24"/>
        </w:rPr>
        <w:t>,</w:t>
      </w:r>
      <w:r w:rsidR="00B12FB5">
        <w:rPr>
          <w:rFonts w:ascii="Arial" w:hAnsi="Arial" w:cs="Arial"/>
          <w:sz w:val="24"/>
          <w:szCs w:val="24"/>
        </w:rPr>
        <w:t xml:space="preserve"> </w:t>
      </w:r>
      <w:r w:rsidR="0077088E">
        <w:rPr>
          <w:rFonts w:ascii="Arial" w:hAnsi="Arial" w:cs="Arial"/>
          <w:sz w:val="24"/>
          <w:szCs w:val="24"/>
        </w:rPr>
        <w:t xml:space="preserve">psychometric </w:t>
      </w:r>
      <w:proofErr w:type="gramStart"/>
      <w:r w:rsidR="0077088E">
        <w:rPr>
          <w:rFonts w:ascii="Arial" w:hAnsi="Arial" w:cs="Arial"/>
          <w:sz w:val="24"/>
          <w:szCs w:val="24"/>
        </w:rPr>
        <w:t>testing</w:t>
      </w:r>
      <w:proofErr w:type="gramEnd"/>
      <w:r w:rsidR="0077088E">
        <w:rPr>
          <w:rFonts w:ascii="Arial" w:hAnsi="Arial" w:cs="Arial"/>
          <w:sz w:val="24"/>
          <w:szCs w:val="24"/>
        </w:rPr>
        <w:t xml:space="preserve"> and domestic violence.</w:t>
      </w:r>
      <w:r w:rsidR="005B554D">
        <w:rPr>
          <w:rStyle w:val="FootnoteReference"/>
          <w:rFonts w:ascii="Arial" w:hAnsi="Arial" w:cs="Arial"/>
          <w:sz w:val="24"/>
          <w:szCs w:val="24"/>
        </w:rPr>
        <w:footnoteReference w:id="60"/>
      </w:r>
      <w:r w:rsidR="003E3CA8">
        <w:rPr>
          <w:rFonts w:ascii="Arial" w:hAnsi="Arial" w:cs="Arial"/>
          <w:sz w:val="24"/>
          <w:szCs w:val="24"/>
        </w:rPr>
        <w:t xml:space="preserve"> </w:t>
      </w:r>
    </w:p>
    <w:p w14:paraId="61E274EE" w14:textId="71AF3C1A" w:rsidR="00FE19B1" w:rsidRDefault="00FE19B1" w:rsidP="003070AE">
      <w:pPr>
        <w:rPr>
          <w:rFonts w:ascii="Arial" w:hAnsi="Arial" w:cs="Arial"/>
          <w:sz w:val="24"/>
          <w:szCs w:val="24"/>
        </w:rPr>
      </w:pPr>
      <w:r>
        <w:rPr>
          <w:rFonts w:ascii="Arial" w:hAnsi="Arial" w:cs="Arial"/>
          <w:sz w:val="24"/>
          <w:szCs w:val="24"/>
        </w:rPr>
        <w:t>The court reviewed that</w:t>
      </w:r>
      <w:r w:rsidR="009343BD">
        <w:rPr>
          <w:rFonts w:ascii="Arial" w:hAnsi="Arial" w:cs="Arial"/>
          <w:sz w:val="24"/>
          <w:szCs w:val="24"/>
        </w:rPr>
        <w:t xml:space="preserve"> Dr. Harris’ methodology in conducting the assessment was not challenged and was described as follows:</w:t>
      </w:r>
      <w:r w:rsidR="00E60989">
        <w:rPr>
          <w:rStyle w:val="FootnoteReference"/>
          <w:rFonts w:ascii="Arial" w:hAnsi="Arial" w:cs="Arial"/>
          <w:sz w:val="24"/>
          <w:szCs w:val="24"/>
        </w:rPr>
        <w:footnoteReference w:id="61"/>
      </w:r>
    </w:p>
    <w:p w14:paraId="465678A3" w14:textId="48DD07B5" w:rsidR="009343BD" w:rsidRDefault="007A1AED" w:rsidP="007A1AED">
      <w:pPr>
        <w:ind w:left="720"/>
        <w:rPr>
          <w:rFonts w:ascii="Arial" w:hAnsi="Arial" w:cs="Arial"/>
          <w:sz w:val="24"/>
          <w:szCs w:val="24"/>
        </w:rPr>
      </w:pPr>
      <w:r>
        <w:rPr>
          <w:rFonts w:ascii="Arial" w:hAnsi="Arial" w:cs="Arial"/>
          <w:sz w:val="24"/>
          <w:szCs w:val="24"/>
        </w:rPr>
        <w:t xml:space="preserve">[Dr. Harris] obtained information from multiple sources including service providers involved with the </w:t>
      </w:r>
      <w:proofErr w:type="gramStart"/>
      <w:r>
        <w:rPr>
          <w:rFonts w:ascii="Arial" w:hAnsi="Arial" w:cs="Arial"/>
          <w:sz w:val="24"/>
          <w:szCs w:val="24"/>
        </w:rPr>
        <w:t>parents</w:t>
      </w:r>
      <w:r w:rsidR="003673BD">
        <w:rPr>
          <w:rFonts w:ascii="Arial" w:hAnsi="Arial" w:cs="Arial"/>
          <w:sz w:val="24"/>
          <w:szCs w:val="24"/>
        </w:rPr>
        <w:t>;  she</w:t>
      </w:r>
      <w:proofErr w:type="gramEnd"/>
      <w:r w:rsidR="003673BD">
        <w:rPr>
          <w:rFonts w:ascii="Arial" w:hAnsi="Arial" w:cs="Arial"/>
          <w:sz w:val="24"/>
          <w:szCs w:val="24"/>
        </w:rPr>
        <w:t xml:space="preserve"> conducted the assessment over time; she met with the parents both together and individually for 10 hours in total; and saw the children and parents interacting with each other on three occasions for a total of 6 hours, including at the offices of the Society and in the community, as well as conducted psychological testing on the parents.</w:t>
      </w:r>
    </w:p>
    <w:p w14:paraId="627D97FF" w14:textId="3C8D881F" w:rsidR="00614146" w:rsidRDefault="004673C2" w:rsidP="00614146">
      <w:pPr>
        <w:rPr>
          <w:rFonts w:ascii="Arial" w:hAnsi="Arial" w:cs="Arial"/>
          <w:sz w:val="24"/>
          <w:szCs w:val="24"/>
        </w:rPr>
      </w:pPr>
      <w:r>
        <w:rPr>
          <w:rFonts w:ascii="Arial" w:hAnsi="Arial" w:cs="Arial"/>
          <w:sz w:val="24"/>
          <w:szCs w:val="24"/>
        </w:rPr>
        <w:t xml:space="preserve">Dr. Harris </w:t>
      </w:r>
      <w:r w:rsidR="00621D01">
        <w:rPr>
          <w:rFonts w:ascii="Arial" w:hAnsi="Arial" w:cs="Arial"/>
          <w:sz w:val="24"/>
          <w:szCs w:val="24"/>
        </w:rPr>
        <w:t>found that both parents ha</w:t>
      </w:r>
      <w:r w:rsidR="00E322A1">
        <w:rPr>
          <w:rFonts w:ascii="Arial" w:hAnsi="Arial" w:cs="Arial"/>
          <w:sz w:val="24"/>
          <w:szCs w:val="24"/>
        </w:rPr>
        <w:t>d</w:t>
      </w:r>
      <w:r w:rsidR="00621D01">
        <w:rPr>
          <w:rFonts w:ascii="Arial" w:hAnsi="Arial" w:cs="Arial"/>
          <w:sz w:val="24"/>
          <w:szCs w:val="24"/>
        </w:rPr>
        <w:t xml:space="preserve"> significant cognitive delays and concluded that the parents </w:t>
      </w:r>
      <w:r w:rsidR="00E322A1">
        <w:rPr>
          <w:rFonts w:ascii="Arial" w:hAnsi="Arial" w:cs="Arial"/>
          <w:sz w:val="24"/>
          <w:szCs w:val="24"/>
        </w:rPr>
        <w:t>were</w:t>
      </w:r>
      <w:r w:rsidR="00621D01">
        <w:rPr>
          <w:rFonts w:ascii="Arial" w:hAnsi="Arial" w:cs="Arial"/>
          <w:sz w:val="24"/>
          <w:szCs w:val="24"/>
        </w:rPr>
        <w:t xml:space="preserve"> not able to meet the needs of the children currently or over the long-term and that the high needs of the children </w:t>
      </w:r>
      <w:r w:rsidR="00030F9D">
        <w:rPr>
          <w:rFonts w:ascii="Arial" w:hAnsi="Arial" w:cs="Arial"/>
          <w:sz w:val="24"/>
          <w:szCs w:val="24"/>
        </w:rPr>
        <w:t>were</w:t>
      </w:r>
      <w:r w:rsidR="00621D01">
        <w:rPr>
          <w:rFonts w:ascii="Arial" w:hAnsi="Arial" w:cs="Arial"/>
          <w:sz w:val="24"/>
          <w:szCs w:val="24"/>
        </w:rPr>
        <w:t xml:space="preserve"> beyond the parents’ capacity.  She further found that any intervention offered to the parents </w:t>
      </w:r>
      <w:r w:rsidR="00030F9D">
        <w:rPr>
          <w:rFonts w:ascii="Arial" w:hAnsi="Arial" w:cs="Arial"/>
          <w:sz w:val="24"/>
          <w:szCs w:val="24"/>
        </w:rPr>
        <w:t>was</w:t>
      </w:r>
      <w:r w:rsidR="00621D01">
        <w:rPr>
          <w:rFonts w:ascii="Arial" w:hAnsi="Arial" w:cs="Arial"/>
          <w:sz w:val="24"/>
          <w:szCs w:val="24"/>
        </w:rPr>
        <w:t xml:space="preserve"> likely to be unsuccessful.</w:t>
      </w:r>
      <w:r w:rsidR="00621D01">
        <w:rPr>
          <w:rStyle w:val="FootnoteReference"/>
          <w:rFonts w:ascii="Arial" w:hAnsi="Arial" w:cs="Arial"/>
          <w:sz w:val="24"/>
          <w:szCs w:val="24"/>
        </w:rPr>
        <w:footnoteReference w:id="62"/>
      </w:r>
    </w:p>
    <w:p w14:paraId="4BEB01E6" w14:textId="4FFA16BC" w:rsidR="00614146" w:rsidRDefault="001810B3" w:rsidP="00614146">
      <w:pPr>
        <w:rPr>
          <w:rFonts w:ascii="Arial" w:hAnsi="Arial" w:cs="Arial"/>
          <w:sz w:val="24"/>
          <w:szCs w:val="24"/>
        </w:rPr>
      </w:pPr>
      <w:r>
        <w:rPr>
          <w:rFonts w:ascii="Arial" w:hAnsi="Arial" w:cs="Arial"/>
          <w:sz w:val="24"/>
          <w:szCs w:val="24"/>
        </w:rPr>
        <w:t xml:space="preserve">The court </w:t>
      </w:r>
      <w:r w:rsidR="00C354E8">
        <w:rPr>
          <w:rFonts w:ascii="Arial" w:hAnsi="Arial" w:cs="Arial"/>
          <w:sz w:val="24"/>
          <w:szCs w:val="24"/>
        </w:rPr>
        <w:t>made an order of extended care</w:t>
      </w:r>
      <w:r w:rsidR="00177DA8">
        <w:rPr>
          <w:rFonts w:ascii="Arial" w:hAnsi="Arial" w:cs="Arial"/>
          <w:sz w:val="24"/>
          <w:szCs w:val="24"/>
        </w:rPr>
        <w:t xml:space="preserve"> with access to the parents</w:t>
      </w:r>
      <w:r w:rsidR="00B70E17">
        <w:rPr>
          <w:rFonts w:ascii="Arial" w:hAnsi="Arial" w:cs="Arial"/>
          <w:sz w:val="24"/>
          <w:szCs w:val="24"/>
        </w:rPr>
        <w:t xml:space="preserve"> and to their siblings.  The court </w:t>
      </w:r>
      <w:r w:rsidR="00D60183">
        <w:rPr>
          <w:rFonts w:ascii="Arial" w:hAnsi="Arial" w:cs="Arial"/>
          <w:sz w:val="24"/>
          <w:szCs w:val="24"/>
        </w:rPr>
        <w:t xml:space="preserve">also </w:t>
      </w:r>
      <w:r w:rsidR="00B70E17">
        <w:rPr>
          <w:rFonts w:ascii="Arial" w:hAnsi="Arial" w:cs="Arial"/>
          <w:sz w:val="24"/>
          <w:szCs w:val="24"/>
        </w:rPr>
        <w:t>relied upon the evidence of the assessor</w:t>
      </w:r>
      <w:r w:rsidR="00881CD7">
        <w:rPr>
          <w:rFonts w:ascii="Arial" w:hAnsi="Arial" w:cs="Arial"/>
          <w:sz w:val="24"/>
          <w:szCs w:val="24"/>
        </w:rPr>
        <w:t xml:space="preserve"> to craft access orders in the best interests of the children.  </w:t>
      </w:r>
    </w:p>
    <w:p w14:paraId="22517A7D" w14:textId="720E705A" w:rsidR="008A680F" w:rsidRPr="00F36236" w:rsidRDefault="008A680F" w:rsidP="005900F5">
      <w:pPr>
        <w:rPr>
          <w:rFonts w:ascii="Arial" w:hAnsi="Arial" w:cs="Arial"/>
          <w:b/>
          <w:bCs/>
          <w:sz w:val="24"/>
          <w:szCs w:val="24"/>
          <w:u w:val="single"/>
        </w:rPr>
      </w:pPr>
      <w:r w:rsidRPr="00F36236">
        <w:rPr>
          <w:rFonts w:ascii="Arial" w:hAnsi="Arial" w:cs="Arial"/>
          <w:b/>
          <w:bCs/>
          <w:i/>
          <w:iCs/>
          <w:sz w:val="24"/>
          <w:szCs w:val="24"/>
          <w:u w:val="single"/>
        </w:rPr>
        <w:t>The Children’s Aid Society of Toronto v. V.D. and P. V.</w:t>
      </w:r>
      <w:r w:rsidRPr="00F36236">
        <w:rPr>
          <w:rFonts w:ascii="Arial" w:hAnsi="Arial" w:cs="Arial"/>
          <w:b/>
          <w:bCs/>
          <w:sz w:val="24"/>
          <w:szCs w:val="24"/>
          <w:u w:val="single"/>
        </w:rPr>
        <w:t xml:space="preserve"> (2016) ONSC </w:t>
      </w:r>
      <w:r w:rsidR="00F36236" w:rsidRPr="00F36236">
        <w:rPr>
          <w:rFonts w:ascii="Arial" w:hAnsi="Arial" w:cs="Arial"/>
          <w:b/>
          <w:bCs/>
          <w:sz w:val="24"/>
          <w:szCs w:val="24"/>
          <w:u w:val="single"/>
        </w:rPr>
        <w:t>3297</w:t>
      </w:r>
    </w:p>
    <w:p w14:paraId="19DCC41E" w14:textId="36276306" w:rsidR="005900F5" w:rsidRDefault="00527E61" w:rsidP="005900F5">
      <w:pPr>
        <w:rPr>
          <w:rFonts w:ascii="Arial" w:hAnsi="Arial" w:cs="Arial"/>
          <w:sz w:val="24"/>
          <w:szCs w:val="24"/>
        </w:rPr>
      </w:pPr>
      <w:r>
        <w:rPr>
          <w:rFonts w:ascii="Arial" w:hAnsi="Arial" w:cs="Arial"/>
          <w:sz w:val="24"/>
          <w:szCs w:val="24"/>
        </w:rPr>
        <w:t xml:space="preserve">This </w:t>
      </w:r>
      <w:r w:rsidR="005900F5">
        <w:rPr>
          <w:rFonts w:ascii="Arial" w:hAnsi="Arial" w:cs="Arial"/>
          <w:sz w:val="24"/>
          <w:szCs w:val="24"/>
        </w:rPr>
        <w:t xml:space="preserve">2016 case involved similar issues where findings of fact were needed </w:t>
      </w:r>
      <w:r w:rsidR="00FD0D77">
        <w:rPr>
          <w:rFonts w:ascii="Arial" w:hAnsi="Arial" w:cs="Arial"/>
          <w:sz w:val="24"/>
          <w:szCs w:val="24"/>
        </w:rPr>
        <w:t>in relation</w:t>
      </w:r>
      <w:r w:rsidR="005900F5">
        <w:rPr>
          <w:rFonts w:ascii="Arial" w:hAnsi="Arial" w:cs="Arial"/>
          <w:sz w:val="24"/>
          <w:szCs w:val="24"/>
        </w:rPr>
        <w:t xml:space="preserve"> to the mental health of </w:t>
      </w:r>
      <w:r w:rsidR="00E611BD">
        <w:rPr>
          <w:rFonts w:ascii="Arial" w:hAnsi="Arial" w:cs="Arial"/>
          <w:sz w:val="24"/>
          <w:szCs w:val="24"/>
        </w:rPr>
        <w:t xml:space="preserve">a </w:t>
      </w:r>
      <w:r w:rsidR="005900F5">
        <w:rPr>
          <w:rFonts w:ascii="Arial" w:hAnsi="Arial" w:cs="Arial"/>
          <w:sz w:val="24"/>
          <w:szCs w:val="24"/>
        </w:rPr>
        <w:t xml:space="preserve">parent and the impact of the parent’s behaviour on the development of </w:t>
      </w:r>
      <w:r w:rsidR="00030F9D">
        <w:rPr>
          <w:rFonts w:ascii="Arial" w:hAnsi="Arial" w:cs="Arial"/>
          <w:sz w:val="24"/>
          <w:szCs w:val="24"/>
        </w:rPr>
        <w:t xml:space="preserve">a </w:t>
      </w:r>
      <w:r w:rsidR="005900F5">
        <w:rPr>
          <w:rFonts w:ascii="Arial" w:hAnsi="Arial" w:cs="Arial"/>
          <w:sz w:val="24"/>
          <w:szCs w:val="24"/>
        </w:rPr>
        <w:t xml:space="preserve">child who was 3 years old at the </w:t>
      </w:r>
      <w:proofErr w:type="gramStart"/>
      <w:r w:rsidR="005900F5">
        <w:rPr>
          <w:rFonts w:ascii="Arial" w:hAnsi="Arial" w:cs="Arial"/>
          <w:sz w:val="24"/>
          <w:szCs w:val="24"/>
        </w:rPr>
        <w:t>time</w:t>
      </w:r>
      <w:proofErr w:type="gramEnd"/>
      <w:r w:rsidR="005900F5">
        <w:rPr>
          <w:rFonts w:ascii="Arial" w:hAnsi="Arial" w:cs="Arial"/>
          <w:sz w:val="24"/>
          <w:szCs w:val="24"/>
        </w:rPr>
        <w:t xml:space="preserve"> he was admitted to Society care.</w:t>
      </w:r>
      <w:r w:rsidR="005900F5">
        <w:rPr>
          <w:rStyle w:val="FootnoteReference"/>
          <w:rFonts w:ascii="Arial" w:hAnsi="Arial" w:cs="Arial"/>
          <w:sz w:val="24"/>
          <w:szCs w:val="24"/>
        </w:rPr>
        <w:footnoteReference w:id="63"/>
      </w:r>
      <w:r w:rsidR="005900F5">
        <w:rPr>
          <w:rFonts w:ascii="Arial" w:hAnsi="Arial" w:cs="Arial"/>
          <w:sz w:val="24"/>
          <w:szCs w:val="24"/>
        </w:rPr>
        <w:t xml:space="preserve"> This case is also </w:t>
      </w:r>
      <w:r w:rsidR="008E0C68">
        <w:rPr>
          <w:rFonts w:ascii="Arial" w:hAnsi="Arial" w:cs="Arial"/>
          <w:sz w:val="24"/>
          <w:szCs w:val="24"/>
        </w:rPr>
        <w:t>noteworthy</w:t>
      </w:r>
      <w:r w:rsidR="005900F5">
        <w:rPr>
          <w:rFonts w:ascii="Arial" w:hAnsi="Arial" w:cs="Arial"/>
          <w:sz w:val="24"/>
          <w:szCs w:val="24"/>
        </w:rPr>
        <w:t xml:space="preserve"> because one of the central issues on appeal was whether the parenting capacity assessor had usurp</w:t>
      </w:r>
      <w:r w:rsidR="00E7492F">
        <w:rPr>
          <w:rFonts w:ascii="Arial" w:hAnsi="Arial" w:cs="Arial"/>
          <w:sz w:val="24"/>
          <w:szCs w:val="24"/>
        </w:rPr>
        <w:t>ed</w:t>
      </w:r>
      <w:r w:rsidR="005900F5">
        <w:rPr>
          <w:rFonts w:ascii="Arial" w:hAnsi="Arial" w:cs="Arial"/>
          <w:sz w:val="24"/>
          <w:szCs w:val="24"/>
        </w:rPr>
        <w:t xml:space="preserve"> the role of the trial judge.  </w:t>
      </w:r>
    </w:p>
    <w:p w14:paraId="455C61CE" w14:textId="73BACC1C" w:rsidR="005900F5" w:rsidRDefault="005900F5" w:rsidP="005900F5">
      <w:pPr>
        <w:rPr>
          <w:rFonts w:ascii="Arial" w:hAnsi="Arial" w:cs="Arial"/>
          <w:sz w:val="24"/>
          <w:szCs w:val="24"/>
        </w:rPr>
      </w:pPr>
      <w:r>
        <w:rPr>
          <w:rFonts w:ascii="Arial" w:hAnsi="Arial" w:cs="Arial"/>
          <w:sz w:val="24"/>
          <w:szCs w:val="24"/>
        </w:rPr>
        <w:lastRenderedPageBreak/>
        <w:t xml:space="preserve">This case involved 35 days of trial and multiple expert witnesses including two parenting capacity assessors, a pediatrician, a child </w:t>
      </w:r>
      <w:proofErr w:type="gramStart"/>
      <w:r>
        <w:rPr>
          <w:rFonts w:ascii="Arial" w:hAnsi="Arial" w:cs="Arial"/>
          <w:sz w:val="24"/>
          <w:szCs w:val="24"/>
        </w:rPr>
        <w:t>psychologist</w:t>
      </w:r>
      <w:proofErr w:type="gramEnd"/>
      <w:r>
        <w:rPr>
          <w:rFonts w:ascii="Arial" w:hAnsi="Arial" w:cs="Arial"/>
          <w:sz w:val="24"/>
          <w:szCs w:val="24"/>
        </w:rPr>
        <w:t xml:space="preserve"> and a psychiatrist who treated the mother.  The court also heard from a second psychiatrist who had seen the mother for five sessions and diagnosed her with a “mixed personality disorder.</w:t>
      </w:r>
      <w:r w:rsidR="00E7492F">
        <w:rPr>
          <w:rFonts w:ascii="Arial" w:hAnsi="Arial" w:cs="Arial"/>
          <w:sz w:val="24"/>
          <w:szCs w:val="24"/>
        </w:rPr>
        <w:t>”</w:t>
      </w:r>
      <w:r w:rsidR="00686751">
        <w:rPr>
          <w:rStyle w:val="FootnoteReference"/>
          <w:rFonts w:ascii="Arial" w:hAnsi="Arial" w:cs="Arial"/>
          <w:sz w:val="24"/>
          <w:szCs w:val="24"/>
        </w:rPr>
        <w:footnoteReference w:id="64"/>
      </w:r>
    </w:p>
    <w:p w14:paraId="0420EA71" w14:textId="27D9747C" w:rsidR="005900F5" w:rsidRDefault="005900F5" w:rsidP="005900F5">
      <w:pPr>
        <w:rPr>
          <w:rFonts w:ascii="Arial" w:hAnsi="Arial" w:cs="Arial"/>
          <w:sz w:val="24"/>
          <w:szCs w:val="24"/>
        </w:rPr>
      </w:pPr>
      <w:r>
        <w:rPr>
          <w:rFonts w:ascii="Arial" w:hAnsi="Arial" w:cs="Arial"/>
          <w:sz w:val="24"/>
          <w:szCs w:val="24"/>
        </w:rPr>
        <w:t xml:space="preserve">The court heard evidence from </w:t>
      </w:r>
      <w:r w:rsidR="008E0C68">
        <w:rPr>
          <w:rFonts w:ascii="Arial" w:hAnsi="Arial" w:cs="Arial"/>
          <w:sz w:val="24"/>
          <w:szCs w:val="24"/>
        </w:rPr>
        <w:t>a</w:t>
      </w:r>
      <w:r>
        <w:rPr>
          <w:rFonts w:ascii="Arial" w:hAnsi="Arial" w:cs="Arial"/>
          <w:sz w:val="24"/>
          <w:szCs w:val="24"/>
        </w:rPr>
        <w:t xml:space="preserve"> pediatrician and </w:t>
      </w:r>
      <w:r w:rsidR="008E0C68">
        <w:rPr>
          <w:rFonts w:ascii="Arial" w:hAnsi="Arial" w:cs="Arial"/>
          <w:sz w:val="24"/>
          <w:szCs w:val="24"/>
        </w:rPr>
        <w:t xml:space="preserve">a </w:t>
      </w:r>
      <w:r>
        <w:rPr>
          <w:rFonts w:ascii="Arial" w:hAnsi="Arial" w:cs="Arial"/>
          <w:sz w:val="24"/>
          <w:szCs w:val="24"/>
        </w:rPr>
        <w:t xml:space="preserve">child psychologist that the child was developmentally delayed upon his admission to care but had made significant gains </w:t>
      </w:r>
      <w:r w:rsidR="007F662D">
        <w:rPr>
          <w:rFonts w:ascii="Arial" w:hAnsi="Arial" w:cs="Arial"/>
          <w:sz w:val="24"/>
          <w:szCs w:val="24"/>
        </w:rPr>
        <w:t>a</w:t>
      </w:r>
      <w:r>
        <w:rPr>
          <w:rFonts w:ascii="Arial" w:hAnsi="Arial" w:cs="Arial"/>
          <w:sz w:val="24"/>
          <w:szCs w:val="24"/>
        </w:rPr>
        <w:t>fter two years in foster care (as measured by cognitive testing of the child at the time of admission and again two years later).  The court also heard evidence that community members at a local family drop-in centre and a family doctor and dentist had not noted signs of neglect in the child in the weeks leading up to the placement of the child in temporary care.</w:t>
      </w:r>
      <w:r w:rsidR="00B84482">
        <w:rPr>
          <w:rStyle w:val="FootnoteReference"/>
          <w:rFonts w:ascii="Arial" w:hAnsi="Arial" w:cs="Arial"/>
          <w:sz w:val="24"/>
          <w:szCs w:val="24"/>
        </w:rPr>
        <w:footnoteReference w:id="65"/>
      </w:r>
      <w:r>
        <w:rPr>
          <w:rFonts w:ascii="Arial" w:hAnsi="Arial" w:cs="Arial"/>
          <w:sz w:val="24"/>
          <w:szCs w:val="24"/>
        </w:rPr>
        <w:t xml:space="preserve">  </w:t>
      </w:r>
    </w:p>
    <w:p w14:paraId="7DCE92EA" w14:textId="151C6826" w:rsidR="005900F5" w:rsidRDefault="005900F5" w:rsidP="005900F5">
      <w:pPr>
        <w:rPr>
          <w:rFonts w:ascii="Arial" w:hAnsi="Arial" w:cs="Arial"/>
          <w:sz w:val="24"/>
          <w:szCs w:val="24"/>
        </w:rPr>
      </w:pPr>
      <w:r>
        <w:rPr>
          <w:rFonts w:ascii="Arial" w:hAnsi="Arial" w:cs="Arial"/>
          <w:sz w:val="24"/>
          <w:szCs w:val="24"/>
        </w:rPr>
        <w:t>The first parenting capacity assessor was a very experienced psychologist and parenting capacity assessor who assessed the mother shortly after the child’s admission to Society care and a second time two years post-admission and just prior to the trial.  This assessor, Dr. N. Perlman, testified that the mother had normal intelligence but lacked insight.  She testified that the mother did not agree that the child had any behavioral or developmental problems at the time of his admission to Society care. She concluded: “In the absence of recognition of a problem and motivation to change, there is no indication that the past will not repeat itself.”</w:t>
      </w:r>
      <w:r w:rsidR="007E3CA4">
        <w:rPr>
          <w:rStyle w:val="FootnoteReference"/>
          <w:rFonts w:ascii="Arial" w:hAnsi="Arial" w:cs="Arial"/>
          <w:sz w:val="24"/>
          <w:szCs w:val="24"/>
        </w:rPr>
        <w:footnoteReference w:id="66"/>
      </w:r>
      <w:r>
        <w:rPr>
          <w:rFonts w:ascii="Arial" w:hAnsi="Arial" w:cs="Arial"/>
          <w:sz w:val="24"/>
          <w:szCs w:val="24"/>
        </w:rPr>
        <w:t xml:space="preserve">  </w:t>
      </w:r>
    </w:p>
    <w:p w14:paraId="78E71F1A" w14:textId="53C74459" w:rsidR="005900F5" w:rsidRDefault="00265308" w:rsidP="005900F5">
      <w:pPr>
        <w:rPr>
          <w:rFonts w:ascii="Arial" w:hAnsi="Arial" w:cs="Arial"/>
          <w:sz w:val="24"/>
          <w:szCs w:val="24"/>
        </w:rPr>
      </w:pPr>
      <w:r>
        <w:rPr>
          <w:rFonts w:ascii="Arial" w:hAnsi="Arial" w:cs="Arial"/>
          <w:sz w:val="24"/>
          <w:szCs w:val="24"/>
        </w:rPr>
        <w:t>The mother introduced e</w:t>
      </w:r>
      <w:r w:rsidR="005900F5">
        <w:rPr>
          <w:rFonts w:ascii="Arial" w:hAnsi="Arial" w:cs="Arial"/>
          <w:sz w:val="24"/>
          <w:szCs w:val="24"/>
        </w:rPr>
        <w:t xml:space="preserve">vidence that her apartment, which was not habitable at the time of the apprehension, had been cleaned and maintained in an orderly state for a significant </w:t>
      </w:r>
      <w:proofErr w:type="gramStart"/>
      <w:r w:rsidR="005900F5">
        <w:rPr>
          <w:rFonts w:ascii="Arial" w:hAnsi="Arial" w:cs="Arial"/>
          <w:sz w:val="24"/>
          <w:szCs w:val="24"/>
        </w:rPr>
        <w:t>period of time</w:t>
      </w:r>
      <w:proofErr w:type="gramEnd"/>
      <w:r w:rsidR="005900F5">
        <w:rPr>
          <w:rFonts w:ascii="Arial" w:hAnsi="Arial" w:cs="Arial"/>
          <w:sz w:val="24"/>
          <w:szCs w:val="24"/>
        </w:rPr>
        <w:t xml:space="preserve">.  The mother had attended 44 parenting classes at a local community centre and that she was somewhat cooperative with resources not attached to the Children’s Aid Society.  The court also heard evidence from the mother’s treating psychiatrist who saw her for 20 sessions that covered an eight-month </w:t>
      </w:r>
      <w:proofErr w:type="gramStart"/>
      <w:r w:rsidR="005900F5">
        <w:rPr>
          <w:rFonts w:ascii="Arial" w:hAnsi="Arial" w:cs="Arial"/>
          <w:sz w:val="24"/>
          <w:szCs w:val="24"/>
        </w:rPr>
        <w:t>period of time</w:t>
      </w:r>
      <w:proofErr w:type="gramEnd"/>
      <w:r w:rsidR="005900F5">
        <w:rPr>
          <w:rFonts w:ascii="Arial" w:hAnsi="Arial" w:cs="Arial"/>
          <w:sz w:val="24"/>
          <w:szCs w:val="24"/>
        </w:rPr>
        <w:t>.  He diagnosed the mother with an adjustment disorder with depressed mood but found her to be “highly motivated, cooperative, punctual and attentive.”  This psychiatrist supported a return of the child to the mother’s care.</w:t>
      </w:r>
      <w:r w:rsidR="00996DAD">
        <w:rPr>
          <w:rStyle w:val="FootnoteReference"/>
          <w:rFonts w:ascii="Arial" w:hAnsi="Arial" w:cs="Arial"/>
          <w:sz w:val="24"/>
          <w:szCs w:val="24"/>
        </w:rPr>
        <w:footnoteReference w:id="67"/>
      </w:r>
      <w:r w:rsidR="005900F5">
        <w:rPr>
          <w:rFonts w:ascii="Arial" w:hAnsi="Arial" w:cs="Arial"/>
          <w:sz w:val="24"/>
          <w:szCs w:val="24"/>
        </w:rPr>
        <w:t xml:space="preserve">  </w:t>
      </w:r>
    </w:p>
    <w:p w14:paraId="55A131A3" w14:textId="648C1286" w:rsidR="005900F5" w:rsidRDefault="005900F5" w:rsidP="005900F5">
      <w:pPr>
        <w:rPr>
          <w:rFonts w:ascii="Arial" w:hAnsi="Arial" w:cs="Arial"/>
          <w:sz w:val="24"/>
          <w:szCs w:val="24"/>
        </w:rPr>
      </w:pPr>
      <w:r>
        <w:rPr>
          <w:rFonts w:ascii="Arial" w:hAnsi="Arial" w:cs="Arial"/>
          <w:sz w:val="24"/>
          <w:szCs w:val="24"/>
        </w:rPr>
        <w:t xml:space="preserve">After hearing all of the evidence, the court made the protection finding in </w:t>
      </w:r>
      <w:proofErr w:type="gramStart"/>
      <w:r>
        <w:rPr>
          <w:rFonts w:ascii="Arial" w:hAnsi="Arial" w:cs="Arial"/>
          <w:sz w:val="24"/>
          <w:szCs w:val="24"/>
        </w:rPr>
        <w:t>December,</w:t>
      </w:r>
      <w:proofErr w:type="gramEnd"/>
      <w:r>
        <w:rPr>
          <w:rFonts w:ascii="Arial" w:hAnsi="Arial" w:cs="Arial"/>
          <w:sz w:val="24"/>
          <w:szCs w:val="24"/>
        </w:rPr>
        <w:t xml:space="preserve"> 2014 and decided that further evidence was needed before a disposition order could be made.  The court questioned the length of time over which the child had been neglected given conflicting evidence on this point.  A parenting capacity assessment order was made on consent to obtain </w:t>
      </w:r>
      <w:r w:rsidR="00ED7312">
        <w:rPr>
          <w:rFonts w:ascii="Arial" w:hAnsi="Arial" w:cs="Arial"/>
          <w:sz w:val="24"/>
          <w:szCs w:val="24"/>
        </w:rPr>
        <w:t xml:space="preserve">this </w:t>
      </w:r>
      <w:r>
        <w:rPr>
          <w:rFonts w:ascii="Arial" w:hAnsi="Arial" w:cs="Arial"/>
          <w:sz w:val="24"/>
          <w:szCs w:val="24"/>
        </w:rPr>
        <w:t xml:space="preserve">additional evidence.  It was agreed that Dr. Jean Wittenberg would conduct the assessment.  </w:t>
      </w:r>
    </w:p>
    <w:p w14:paraId="23FA2A89" w14:textId="190EDFD1" w:rsidR="005900F5" w:rsidRDefault="005900F5" w:rsidP="005900F5">
      <w:pPr>
        <w:rPr>
          <w:rFonts w:ascii="Arial" w:hAnsi="Arial" w:cs="Arial"/>
          <w:sz w:val="24"/>
          <w:szCs w:val="24"/>
        </w:rPr>
      </w:pPr>
      <w:r>
        <w:rPr>
          <w:rFonts w:ascii="Arial" w:hAnsi="Arial" w:cs="Arial"/>
          <w:sz w:val="24"/>
          <w:szCs w:val="24"/>
        </w:rPr>
        <w:t xml:space="preserve">The trial resumed several months later after the release of Dr. Wittenberg’s report in </w:t>
      </w:r>
      <w:proofErr w:type="gramStart"/>
      <w:r>
        <w:rPr>
          <w:rFonts w:ascii="Arial" w:hAnsi="Arial" w:cs="Arial"/>
          <w:sz w:val="24"/>
          <w:szCs w:val="24"/>
        </w:rPr>
        <w:t>March,</w:t>
      </w:r>
      <w:proofErr w:type="gramEnd"/>
      <w:r>
        <w:rPr>
          <w:rFonts w:ascii="Arial" w:hAnsi="Arial" w:cs="Arial"/>
          <w:sz w:val="24"/>
          <w:szCs w:val="24"/>
        </w:rPr>
        <w:t xml:space="preserve"> 2015.  Dr. Wittenberg was qualified as an expert in child psychiatry, parent-child </w:t>
      </w:r>
      <w:r>
        <w:rPr>
          <w:rFonts w:ascii="Arial" w:hAnsi="Arial" w:cs="Arial"/>
          <w:sz w:val="24"/>
          <w:szCs w:val="24"/>
        </w:rPr>
        <w:lastRenderedPageBreak/>
        <w:t>relationships, parenting capacity and child development.  Dr. Wittenberg was provided with extensive documentary material selected by each of the parties</w:t>
      </w:r>
      <w:r w:rsidR="00757F45">
        <w:rPr>
          <w:rFonts w:ascii="Arial" w:hAnsi="Arial" w:cs="Arial"/>
          <w:sz w:val="24"/>
          <w:szCs w:val="24"/>
        </w:rPr>
        <w:t xml:space="preserve">, </w:t>
      </w:r>
      <w:r>
        <w:rPr>
          <w:rFonts w:ascii="Arial" w:hAnsi="Arial" w:cs="Arial"/>
          <w:sz w:val="24"/>
          <w:szCs w:val="24"/>
        </w:rPr>
        <w:t>including transcripts of the evidence heard to date.  His methodology was as follows:</w:t>
      </w:r>
      <w:r w:rsidR="0070610D">
        <w:rPr>
          <w:rStyle w:val="FootnoteReference"/>
          <w:rFonts w:ascii="Arial" w:hAnsi="Arial" w:cs="Arial"/>
          <w:sz w:val="24"/>
          <w:szCs w:val="24"/>
        </w:rPr>
        <w:footnoteReference w:id="68"/>
      </w:r>
    </w:p>
    <w:p w14:paraId="4F3E87F6" w14:textId="77777777" w:rsidR="005900F5" w:rsidRDefault="005900F5" w:rsidP="005900F5">
      <w:pPr>
        <w:pStyle w:val="ListParagraph"/>
        <w:numPr>
          <w:ilvl w:val="1"/>
          <w:numId w:val="18"/>
        </w:numPr>
        <w:ind w:left="720"/>
        <w:rPr>
          <w:rFonts w:ascii="Arial" w:hAnsi="Arial" w:cs="Arial"/>
          <w:sz w:val="24"/>
          <w:szCs w:val="24"/>
        </w:rPr>
      </w:pPr>
      <w:r w:rsidRPr="008C3E07">
        <w:rPr>
          <w:rFonts w:ascii="Arial" w:hAnsi="Arial" w:cs="Arial"/>
          <w:sz w:val="24"/>
          <w:szCs w:val="24"/>
        </w:rPr>
        <w:t xml:space="preserve">He observed a total of three and a half hours of access visits on three separate dates in January, </w:t>
      </w:r>
      <w:proofErr w:type="gramStart"/>
      <w:r w:rsidRPr="008C3E07">
        <w:rPr>
          <w:rFonts w:ascii="Arial" w:hAnsi="Arial" w:cs="Arial"/>
          <w:sz w:val="24"/>
          <w:szCs w:val="24"/>
        </w:rPr>
        <w:t>2015;</w:t>
      </w:r>
      <w:proofErr w:type="gramEnd"/>
    </w:p>
    <w:p w14:paraId="2CF2B911" w14:textId="77777777" w:rsidR="005900F5" w:rsidRPr="008C3E07" w:rsidRDefault="005900F5" w:rsidP="005900F5">
      <w:pPr>
        <w:pStyle w:val="ListParagraph"/>
        <w:rPr>
          <w:rFonts w:ascii="Arial" w:hAnsi="Arial" w:cs="Arial"/>
          <w:sz w:val="24"/>
          <w:szCs w:val="24"/>
        </w:rPr>
      </w:pPr>
    </w:p>
    <w:p w14:paraId="76B28CB3" w14:textId="77777777" w:rsidR="005900F5" w:rsidRDefault="005900F5" w:rsidP="005900F5">
      <w:pPr>
        <w:pStyle w:val="ListParagraph"/>
        <w:numPr>
          <w:ilvl w:val="1"/>
          <w:numId w:val="18"/>
        </w:numPr>
        <w:ind w:left="720"/>
        <w:rPr>
          <w:rFonts w:ascii="Arial" w:hAnsi="Arial" w:cs="Arial"/>
          <w:sz w:val="24"/>
          <w:szCs w:val="24"/>
        </w:rPr>
      </w:pPr>
      <w:r w:rsidRPr="008C3E07">
        <w:rPr>
          <w:rFonts w:ascii="Arial" w:hAnsi="Arial" w:cs="Arial"/>
          <w:sz w:val="24"/>
          <w:szCs w:val="24"/>
        </w:rPr>
        <w:t xml:space="preserve">He interviewed the mother on three occasions for a total of five hours and forty-five </w:t>
      </w:r>
      <w:proofErr w:type="gramStart"/>
      <w:r w:rsidRPr="008C3E07">
        <w:rPr>
          <w:rFonts w:ascii="Arial" w:hAnsi="Arial" w:cs="Arial"/>
          <w:sz w:val="24"/>
          <w:szCs w:val="24"/>
        </w:rPr>
        <w:t>minutes;</w:t>
      </w:r>
      <w:proofErr w:type="gramEnd"/>
    </w:p>
    <w:p w14:paraId="3ACCB2D4" w14:textId="77777777" w:rsidR="005900F5" w:rsidRPr="008C3E07" w:rsidRDefault="005900F5" w:rsidP="005900F5">
      <w:pPr>
        <w:pStyle w:val="ListParagraph"/>
        <w:rPr>
          <w:rFonts w:ascii="Arial" w:hAnsi="Arial" w:cs="Arial"/>
          <w:sz w:val="24"/>
          <w:szCs w:val="24"/>
        </w:rPr>
      </w:pPr>
    </w:p>
    <w:p w14:paraId="59F535F9" w14:textId="77777777" w:rsidR="005900F5" w:rsidRPr="008C3E07" w:rsidRDefault="005900F5" w:rsidP="005900F5">
      <w:pPr>
        <w:pStyle w:val="ListParagraph"/>
        <w:numPr>
          <w:ilvl w:val="1"/>
          <w:numId w:val="18"/>
        </w:numPr>
        <w:ind w:left="720"/>
        <w:rPr>
          <w:rFonts w:ascii="Arial" w:hAnsi="Arial" w:cs="Arial"/>
          <w:sz w:val="24"/>
          <w:szCs w:val="24"/>
        </w:rPr>
      </w:pPr>
      <w:r w:rsidRPr="008C3E07">
        <w:rPr>
          <w:rFonts w:ascii="Arial" w:hAnsi="Arial" w:cs="Arial"/>
          <w:sz w:val="24"/>
          <w:szCs w:val="24"/>
        </w:rPr>
        <w:t xml:space="preserve">He interviewed several society workers, the foster </w:t>
      </w:r>
      <w:proofErr w:type="gramStart"/>
      <w:r w:rsidRPr="008C3E07">
        <w:rPr>
          <w:rFonts w:ascii="Arial" w:hAnsi="Arial" w:cs="Arial"/>
          <w:sz w:val="24"/>
          <w:szCs w:val="24"/>
        </w:rPr>
        <w:t>mother</w:t>
      </w:r>
      <w:proofErr w:type="gramEnd"/>
      <w:r w:rsidRPr="008C3E07">
        <w:rPr>
          <w:rFonts w:ascii="Arial" w:hAnsi="Arial" w:cs="Arial"/>
          <w:sz w:val="24"/>
          <w:szCs w:val="24"/>
        </w:rPr>
        <w:t xml:space="preserve"> and the child.</w:t>
      </w:r>
    </w:p>
    <w:p w14:paraId="2F246BD2" w14:textId="4334A079" w:rsidR="005900F5" w:rsidRDefault="005900F5" w:rsidP="005900F5">
      <w:pPr>
        <w:rPr>
          <w:rFonts w:ascii="Arial" w:hAnsi="Arial" w:cs="Arial"/>
          <w:sz w:val="24"/>
          <w:szCs w:val="24"/>
        </w:rPr>
      </w:pPr>
      <w:r>
        <w:rPr>
          <w:rFonts w:ascii="Arial" w:hAnsi="Arial" w:cs="Arial"/>
          <w:sz w:val="24"/>
          <w:szCs w:val="24"/>
        </w:rPr>
        <w:t xml:space="preserve">Dr. Wittenberg produced a </w:t>
      </w:r>
      <w:proofErr w:type="gramStart"/>
      <w:r>
        <w:rPr>
          <w:rFonts w:ascii="Arial" w:hAnsi="Arial" w:cs="Arial"/>
          <w:sz w:val="24"/>
          <w:szCs w:val="24"/>
        </w:rPr>
        <w:t>76 page</w:t>
      </w:r>
      <w:proofErr w:type="gramEnd"/>
      <w:r>
        <w:rPr>
          <w:rFonts w:ascii="Arial" w:hAnsi="Arial" w:cs="Arial"/>
          <w:sz w:val="24"/>
          <w:szCs w:val="24"/>
        </w:rPr>
        <w:t xml:space="preserve"> assessment report which included detailed observations </w:t>
      </w:r>
      <w:r w:rsidR="00757F45">
        <w:rPr>
          <w:rFonts w:ascii="Arial" w:hAnsi="Arial" w:cs="Arial"/>
          <w:sz w:val="24"/>
          <w:szCs w:val="24"/>
        </w:rPr>
        <w:t>of</w:t>
      </w:r>
      <w:r>
        <w:rPr>
          <w:rFonts w:ascii="Arial" w:hAnsi="Arial" w:cs="Arial"/>
          <w:sz w:val="24"/>
          <w:szCs w:val="24"/>
        </w:rPr>
        <w:t xml:space="preserve"> each access visit he observed</w:t>
      </w:r>
      <w:r w:rsidR="00E40AEA">
        <w:rPr>
          <w:rFonts w:ascii="Arial" w:hAnsi="Arial" w:cs="Arial"/>
          <w:sz w:val="24"/>
          <w:szCs w:val="24"/>
        </w:rPr>
        <w:t>,</w:t>
      </w:r>
      <w:r>
        <w:rPr>
          <w:rFonts w:ascii="Arial" w:hAnsi="Arial" w:cs="Arial"/>
          <w:sz w:val="24"/>
          <w:szCs w:val="24"/>
        </w:rPr>
        <w:t xml:space="preserve"> in addition to his clinical findings</w:t>
      </w:r>
      <w:r w:rsidR="00E40AEA">
        <w:rPr>
          <w:rFonts w:ascii="Arial" w:hAnsi="Arial" w:cs="Arial"/>
          <w:sz w:val="24"/>
          <w:szCs w:val="24"/>
        </w:rPr>
        <w:t>,</w:t>
      </w:r>
      <w:r>
        <w:rPr>
          <w:rFonts w:ascii="Arial" w:hAnsi="Arial" w:cs="Arial"/>
          <w:sz w:val="24"/>
          <w:szCs w:val="24"/>
        </w:rPr>
        <w:t xml:space="preserve"> which included the following:</w:t>
      </w:r>
      <w:r w:rsidR="0070610D">
        <w:rPr>
          <w:rStyle w:val="FootnoteReference"/>
          <w:rFonts w:ascii="Arial" w:hAnsi="Arial" w:cs="Arial"/>
          <w:sz w:val="24"/>
          <w:szCs w:val="24"/>
        </w:rPr>
        <w:footnoteReference w:id="69"/>
      </w:r>
    </w:p>
    <w:p w14:paraId="23493361" w14:textId="70B36D2C" w:rsidR="005900F5" w:rsidRDefault="005900F5" w:rsidP="005900F5">
      <w:pPr>
        <w:pStyle w:val="ListParagraph"/>
        <w:numPr>
          <w:ilvl w:val="0"/>
          <w:numId w:val="17"/>
        </w:numPr>
        <w:ind w:left="720"/>
        <w:rPr>
          <w:rFonts w:ascii="Arial" w:hAnsi="Arial" w:cs="Arial"/>
          <w:sz w:val="24"/>
          <w:szCs w:val="24"/>
        </w:rPr>
      </w:pPr>
      <w:r w:rsidRPr="002F0B71">
        <w:rPr>
          <w:rFonts w:ascii="Arial" w:hAnsi="Arial" w:cs="Arial"/>
          <w:sz w:val="24"/>
          <w:szCs w:val="24"/>
        </w:rPr>
        <w:t>The mother has a very significant personality disorder (mixed type with schizotypal characteristics) that seriously impact</w:t>
      </w:r>
      <w:r w:rsidR="00AB73B0">
        <w:rPr>
          <w:rFonts w:ascii="Arial" w:hAnsi="Arial" w:cs="Arial"/>
          <w:sz w:val="24"/>
          <w:szCs w:val="24"/>
        </w:rPr>
        <w:t>ed</w:t>
      </w:r>
      <w:r w:rsidRPr="002F0B71">
        <w:rPr>
          <w:rFonts w:ascii="Arial" w:hAnsi="Arial" w:cs="Arial"/>
          <w:sz w:val="24"/>
          <w:szCs w:val="24"/>
        </w:rPr>
        <w:t xml:space="preserve"> her ability to care for the child.</w:t>
      </w:r>
    </w:p>
    <w:p w14:paraId="4A44CCC8" w14:textId="77777777" w:rsidR="005900F5" w:rsidRDefault="005900F5" w:rsidP="005900F5">
      <w:pPr>
        <w:pStyle w:val="ListParagraph"/>
        <w:ind w:left="360"/>
        <w:rPr>
          <w:rFonts w:ascii="Arial" w:hAnsi="Arial" w:cs="Arial"/>
          <w:sz w:val="24"/>
          <w:szCs w:val="24"/>
        </w:rPr>
      </w:pPr>
    </w:p>
    <w:p w14:paraId="4C70E581" w14:textId="1BEA16A0" w:rsidR="005900F5" w:rsidRDefault="005900F5" w:rsidP="005900F5">
      <w:pPr>
        <w:pStyle w:val="ListParagraph"/>
        <w:numPr>
          <w:ilvl w:val="0"/>
          <w:numId w:val="17"/>
        </w:numPr>
        <w:ind w:left="720"/>
        <w:rPr>
          <w:rFonts w:ascii="Arial" w:hAnsi="Arial" w:cs="Arial"/>
          <w:sz w:val="24"/>
          <w:szCs w:val="24"/>
        </w:rPr>
      </w:pPr>
      <w:r w:rsidRPr="002F0B71">
        <w:rPr>
          <w:rFonts w:ascii="Arial" w:hAnsi="Arial" w:cs="Arial"/>
          <w:sz w:val="24"/>
          <w:szCs w:val="24"/>
        </w:rPr>
        <w:t xml:space="preserve">The mother’s personality disorder </w:t>
      </w:r>
      <w:r w:rsidR="00AB73B0">
        <w:rPr>
          <w:rFonts w:ascii="Arial" w:hAnsi="Arial" w:cs="Arial"/>
          <w:sz w:val="24"/>
          <w:szCs w:val="24"/>
        </w:rPr>
        <w:t xml:space="preserve">caused </w:t>
      </w:r>
      <w:r w:rsidRPr="002F0B71">
        <w:rPr>
          <w:rFonts w:ascii="Arial" w:hAnsi="Arial" w:cs="Arial"/>
          <w:sz w:val="24"/>
          <w:szCs w:val="24"/>
        </w:rPr>
        <w:t xml:space="preserve">her to derive a distorted perception of other people and of their intentions.  It also </w:t>
      </w:r>
      <w:r w:rsidR="00AB73B0">
        <w:rPr>
          <w:rFonts w:ascii="Arial" w:hAnsi="Arial" w:cs="Arial"/>
          <w:sz w:val="24"/>
          <w:szCs w:val="24"/>
        </w:rPr>
        <w:t>caused</w:t>
      </w:r>
      <w:r w:rsidRPr="002F0B71">
        <w:rPr>
          <w:rFonts w:ascii="Arial" w:hAnsi="Arial" w:cs="Arial"/>
          <w:sz w:val="24"/>
          <w:szCs w:val="24"/>
        </w:rPr>
        <w:t xml:space="preserve"> her to respond maladaptively to them.  This </w:t>
      </w:r>
      <w:r w:rsidR="00AB73B0">
        <w:rPr>
          <w:rFonts w:ascii="Arial" w:hAnsi="Arial" w:cs="Arial"/>
          <w:sz w:val="24"/>
          <w:szCs w:val="24"/>
        </w:rPr>
        <w:t>was</w:t>
      </w:r>
      <w:r w:rsidRPr="002F0B71">
        <w:rPr>
          <w:rFonts w:ascii="Arial" w:hAnsi="Arial" w:cs="Arial"/>
          <w:sz w:val="24"/>
          <w:szCs w:val="24"/>
        </w:rPr>
        <w:t xml:space="preserve"> true of her interactions with everyone she encounter</w:t>
      </w:r>
      <w:r w:rsidR="00C974A5">
        <w:rPr>
          <w:rFonts w:ascii="Arial" w:hAnsi="Arial" w:cs="Arial"/>
          <w:sz w:val="24"/>
          <w:szCs w:val="24"/>
        </w:rPr>
        <w:t>ed</w:t>
      </w:r>
      <w:r w:rsidRPr="002F0B71">
        <w:rPr>
          <w:rFonts w:ascii="Arial" w:hAnsi="Arial" w:cs="Arial"/>
          <w:sz w:val="24"/>
          <w:szCs w:val="24"/>
        </w:rPr>
        <w:t xml:space="preserve"> including the child.  She </w:t>
      </w:r>
      <w:r w:rsidR="00C974A5">
        <w:rPr>
          <w:rFonts w:ascii="Arial" w:hAnsi="Arial" w:cs="Arial"/>
          <w:sz w:val="24"/>
          <w:szCs w:val="24"/>
        </w:rPr>
        <w:t>was</w:t>
      </w:r>
      <w:r w:rsidRPr="002F0B71">
        <w:rPr>
          <w:rFonts w:ascii="Arial" w:hAnsi="Arial" w:cs="Arial"/>
          <w:sz w:val="24"/>
          <w:szCs w:val="24"/>
        </w:rPr>
        <w:t xml:space="preserve"> not capable of accurately understanding other people nor of recognizing her distorted perceptions or maladaptive responses and thus correcting them.</w:t>
      </w:r>
    </w:p>
    <w:p w14:paraId="22215F54" w14:textId="77777777" w:rsidR="005900F5" w:rsidRDefault="005900F5" w:rsidP="005900F5">
      <w:pPr>
        <w:pStyle w:val="ListParagraph"/>
        <w:ind w:left="360"/>
        <w:rPr>
          <w:rFonts w:ascii="Arial" w:hAnsi="Arial" w:cs="Arial"/>
          <w:sz w:val="24"/>
          <w:szCs w:val="24"/>
        </w:rPr>
      </w:pPr>
    </w:p>
    <w:p w14:paraId="7552EEB5" w14:textId="3E7D2369" w:rsidR="005900F5" w:rsidRDefault="005900F5" w:rsidP="005900F5">
      <w:pPr>
        <w:pStyle w:val="ListParagraph"/>
        <w:numPr>
          <w:ilvl w:val="0"/>
          <w:numId w:val="17"/>
        </w:numPr>
        <w:ind w:left="720"/>
        <w:rPr>
          <w:rFonts w:ascii="Arial" w:hAnsi="Arial" w:cs="Arial"/>
          <w:sz w:val="24"/>
          <w:szCs w:val="24"/>
        </w:rPr>
      </w:pPr>
      <w:r w:rsidRPr="002F0B71">
        <w:rPr>
          <w:rFonts w:ascii="Arial" w:hAnsi="Arial" w:cs="Arial"/>
          <w:sz w:val="24"/>
          <w:szCs w:val="24"/>
        </w:rPr>
        <w:t xml:space="preserve">There </w:t>
      </w:r>
      <w:r w:rsidR="00C974A5">
        <w:rPr>
          <w:rFonts w:ascii="Arial" w:hAnsi="Arial" w:cs="Arial"/>
          <w:sz w:val="24"/>
          <w:szCs w:val="24"/>
        </w:rPr>
        <w:t>was</w:t>
      </w:r>
      <w:r w:rsidRPr="002F0B71">
        <w:rPr>
          <w:rFonts w:ascii="Arial" w:hAnsi="Arial" w:cs="Arial"/>
          <w:sz w:val="24"/>
          <w:szCs w:val="24"/>
        </w:rPr>
        <w:t xml:space="preserve"> very significant stress in the child’s relationship with his mother. The mother’s manner with him </w:t>
      </w:r>
      <w:r w:rsidR="00C974A5">
        <w:rPr>
          <w:rFonts w:ascii="Arial" w:hAnsi="Arial" w:cs="Arial"/>
          <w:sz w:val="24"/>
          <w:szCs w:val="24"/>
        </w:rPr>
        <w:t>was</w:t>
      </w:r>
      <w:r w:rsidRPr="002F0B71">
        <w:rPr>
          <w:rFonts w:ascii="Arial" w:hAnsi="Arial" w:cs="Arial"/>
          <w:sz w:val="24"/>
          <w:szCs w:val="24"/>
        </w:rPr>
        <w:t xml:space="preserve"> stress-invoking by its u</w:t>
      </w:r>
      <w:r>
        <w:rPr>
          <w:rFonts w:ascii="Arial" w:hAnsi="Arial" w:cs="Arial"/>
          <w:sz w:val="24"/>
          <w:szCs w:val="24"/>
        </w:rPr>
        <w:t>np</w:t>
      </w:r>
      <w:r w:rsidRPr="002F0B71">
        <w:rPr>
          <w:rFonts w:ascii="Arial" w:hAnsi="Arial" w:cs="Arial"/>
          <w:sz w:val="24"/>
          <w:szCs w:val="24"/>
        </w:rPr>
        <w:t xml:space="preserve">redictability, her lack of </w:t>
      </w:r>
      <w:proofErr w:type="spellStart"/>
      <w:r w:rsidRPr="002F0B71">
        <w:rPr>
          <w:rFonts w:ascii="Arial" w:hAnsi="Arial" w:cs="Arial"/>
          <w:sz w:val="24"/>
          <w:szCs w:val="24"/>
        </w:rPr>
        <w:t>attunement</w:t>
      </w:r>
      <w:proofErr w:type="spellEnd"/>
      <w:r w:rsidRPr="002F0B71">
        <w:rPr>
          <w:rFonts w:ascii="Arial" w:hAnsi="Arial" w:cs="Arial"/>
          <w:sz w:val="24"/>
          <w:szCs w:val="24"/>
        </w:rPr>
        <w:t xml:space="preserve">, her tendency to dissociate, her repeated tendency to overlook, ignore or contradict wishes that the child expressly conveyed.  There </w:t>
      </w:r>
      <w:r w:rsidR="00C974A5">
        <w:rPr>
          <w:rFonts w:ascii="Arial" w:hAnsi="Arial" w:cs="Arial"/>
          <w:sz w:val="24"/>
          <w:szCs w:val="24"/>
        </w:rPr>
        <w:t>was</w:t>
      </w:r>
      <w:r w:rsidRPr="002F0B71">
        <w:rPr>
          <w:rFonts w:ascii="Arial" w:hAnsi="Arial" w:cs="Arial"/>
          <w:sz w:val="24"/>
          <w:szCs w:val="24"/>
        </w:rPr>
        <w:t xml:space="preserve"> significant evidence of this stress in the child at the time</w:t>
      </w:r>
      <w:r w:rsidR="00C974A5">
        <w:rPr>
          <w:rFonts w:ascii="Arial" w:hAnsi="Arial" w:cs="Arial"/>
          <w:sz w:val="24"/>
          <w:szCs w:val="24"/>
        </w:rPr>
        <w:t xml:space="preserve"> of the assessment</w:t>
      </w:r>
      <w:r w:rsidRPr="002F0B71">
        <w:rPr>
          <w:rFonts w:ascii="Arial" w:hAnsi="Arial" w:cs="Arial"/>
          <w:sz w:val="24"/>
          <w:szCs w:val="24"/>
        </w:rPr>
        <w:t>.  He repeatedly welcome</w:t>
      </w:r>
      <w:r w:rsidR="00C974A5">
        <w:rPr>
          <w:rFonts w:ascii="Arial" w:hAnsi="Arial" w:cs="Arial"/>
          <w:sz w:val="24"/>
          <w:szCs w:val="24"/>
        </w:rPr>
        <w:t>d</w:t>
      </w:r>
      <w:r w:rsidRPr="002F0B71">
        <w:rPr>
          <w:rFonts w:ascii="Arial" w:hAnsi="Arial" w:cs="Arial"/>
          <w:sz w:val="24"/>
          <w:szCs w:val="24"/>
        </w:rPr>
        <w:t xml:space="preserve"> the arrival of the driver to end visits. He not infrequently le</w:t>
      </w:r>
      <w:r w:rsidR="00C974A5">
        <w:rPr>
          <w:rFonts w:ascii="Arial" w:hAnsi="Arial" w:cs="Arial"/>
          <w:sz w:val="24"/>
          <w:szCs w:val="24"/>
        </w:rPr>
        <w:t xml:space="preserve">ft </w:t>
      </w:r>
      <w:r w:rsidRPr="002F0B71">
        <w:rPr>
          <w:rFonts w:ascii="Arial" w:hAnsi="Arial" w:cs="Arial"/>
          <w:sz w:val="24"/>
          <w:szCs w:val="24"/>
        </w:rPr>
        <w:t>his mother without saying goodbye and without looking back…During visits he behave</w:t>
      </w:r>
      <w:r w:rsidR="00C974A5">
        <w:rPr>
          <w:rFonts w:ascii="Arial" w:hAnsi="Arial" w:cs="Arial"/>
          <w:sz w:val="24"/>
          <w:szCs w:val="24"/>
        </w:rPr>
        <w:t>d</w:t>
      </w:r>
      <w:r w:rsidRPr="002F0B71">
        <w:rPr>
          <w:rFonts w:ascii="Arial" w:hAnsi="Arial" w:cs="Arial"/>
          <w:sz w:val="24"/>
          <w:szCs w:val="24"/>
        </w:rPr>
        <w:t xml:space="preserve"> in a remarkably regressed fashion.  He sp</w:t>
      </w:r>
      <w:r w:rsidR="00C974A5">
        <w:rPr>
          <w:rFonts w:ascii="Arial" w:hAnsi="Arial" w:cs="Arial"/>
          <w:sz w:val="24"/>
          <w:szCs w:val="24"/>
        </w:rPr>
        <w:t>oke</w:t>
      </w:r>
      <w:r w:rsidRPr="002F0B71">
        <w:rPr>
          <w:rFonts w:ascii="Arial" w:hAnsi="Arial" w:cs="Arial"/>
          <w:sz w:val="24"/>
          <w:szCs w:val="24"/>
        </w:rPr>
        <w:t xml:space="preserve"> in an infantile voice.  This suggest</w:t>
      </w:r>
      <w:r w:rsidR="00C974A5">
        <w:rPr>
          <w:rFonts w:ascii="Arial" w:hAnsi="Arial" w:cs="Arial"/>
          <w:sz w:val="24"/>
          <w:szCs w:val="24"/>
        </w:rPr>
        <w:t>ed</w:t>
      </w:r>
      <w:r w:rsidRPr="002F0B71">
        <w:rPr>
          <w:rFonts w:ascii="Arial" w:hAnsi="Arial" w:cs="Arial"/>
          <w:sz w:val="24"/>
          <w:szCs w:val="24"/>
        </w:rPr>
        <w:t xml:space="preserve"> a process of dissociation in him, a psychological defence associated with stress and trauma.</w:t>
      </w:r>
    </w:p>
    <w:p w14:paraId="099C83C1" w14:textId="77777777" w:rsidR="005900F5" w:rsidRDefault="005900F5" w:rsidP="005900F5">
      <w:pPr>
        <w:pStyle w:val="ListParagraph"/>
        <w:ind w:left="360"/>
        <w:rPr>
          <w:rFonts w:ascii="Arial" w:hAnsi="Arial" w:cs="Arial"/>
          <w:sz w:val="24"/>
          <w:szCs w:val="24"/>
        </w:rPr>
      </w:pPr>
    </w:p>
    <w:p w14:paraId="5477291A" w14:textId="43D2A552" w:rsidR="005900F5" w:rsidRDefault="005900F5" w:rsidP="005900F5">
      <w:pPr>
        <w:pStyle w:val="ListParagraph"/>
        <w:numPr>
          <w:ilvl w:val="0"/>
          <w:numId w:val="17"/>
        </w:numPr>
        <w:ind w:left="720"/>
        <w:rPr>
          <w:rFonts w:ascii="Arial" w:hAnsi="Arial" w:cs="Arial"/>
          <w:sz w:val="24"/>
          <w:szCs w:val="24"/>
        </w:rPr>
      </w:pPr>
      <w:r w:rsidRPr="002F0B71">
        <w:rPr>
          <w:rFonts w:ascii="Arial" w:hAnsi="Arial" w:cs="Arial"/>
          <w:sz w:val="24"/>
          <w:szCs w:val="24"/>
        </w:rPr>
        <w:t>The child ha</w:t>
      </w:r>
      <w:r w:rsidR="00C974A5">
        <w:rPr>
          <w:rFonts w:ascii="Arial" w:hAnsi="Arial" w:cs="Arial"/>
          <w:sz w:val="24"/>
          <w:szCs w:val="24"/>
        </w:rPr>
        <w:t>d</w:t>
      </w:r>
      <w:r w:rsidRPr="002F0B71">
        <w:rPr>
          <w:rFonts w:ascii="Arial" w:hAnsi="Arial" w:cs="Arial"/>
          <w:sz w:val="24"/>
          <w:szCs w:val="24"/>
        </w:rPr>
        <w:t xml:space="preserve"> a very serious genetic history making him vulnerable to psychosis.  </w:t>
      </w:r>
      <w:proofErr w:type="gramStart"/>
      <w:r w:rsidRPr="002F0B71">
        <w:rPr>
          <w:rFonts w:ascii="Arial" w:hAnsi="Arial" w:cs="Arial"/>
          <w:sz w:val="24"/>
          <w:szCs w:val="24"/>
        </w:rPr>
        <w:t>All of</w:t>
      </w:r>
      <w:proofErr w:type="gramEnd"/>
      <w:r w:rsidRPr="002F0B71">
        <w:rPr>
          <w:rFonts w:ascii="Arial" w:hAnsi="Arial" w:cs="Arial"/>
          <w:sz w:val="24"/>
          <w:szCs w:val="24"/>
        </w:rPr>
        <w:t xml:space="preserve"> these vulnerabilities and highly stressful experiences are of great concern.  They make him, more than the average child, in need of supportive and secure, </w:t>
      </w:r>
      <w:r w:rsidRPr="002F0B71">
        <w:rPr>
          <w:rFonts w:ascii="Arial" w:hAnsi="Arial" w:cs="Arial"/>
          <w:sz w:val="24"/>
          <w:szCs w:val="24"/>
        </w:rPr>
        <w:lastRenderedPageBreak/>
        <w:t>well-attuned, and well-structured responses within a family that can provide that to him predictably, consistently and in the long-term.</w:t>
      </w:r>
    </w:p>
    <w:p w14:paraId="7A70A7CD" w14:textId="77777777" w:rsidR="005900F5" w:rsidRDefault="005900F5" w:rsidP="005900F5">
      <w:pPr>
        <w:pStyle w:val="ListParagraph"/>
        <w:ind w:left="360"/>
        <w:rPr>
          <w:rFonts w:ascii="Arial" w:hAnsi="Arial" w:cs="Arial"/>
          <w:sz w:val="24"/>
          <w:szCs w:val="24"/>
        </w:rPr>
      </w:pPr>
    </w:p>
    <w:p w14:paraId="4EE2701D" w14:textId="08F69290" w:rsidR="005900F5" w:rsidRDefault="005900F5" w:rsidP="005900F5">
      <w:pPr>
        <w:pStyle w:val="ListParagraph"/>
        <w:numPr>
          <w:ilvl w:val="0"/>
          <w:numId w:val="17"/>
        </w:numPr>
        <w:ind w:left="720"/>
        <w:rPr>
          <w:rFonts w:ascii="Arial" w:hAnsi="Arial" w:cs="Arial"/>
          <w:sz w:val="24"/>
          <w:szCs w:val="24"/>
        </w:rPr>
      </w:pPr>
      <w:r w:rsidRPr="002F0B71">
        <w:rPr>
          <w:rFonts w:ascii="Arial" w:hAnsi="Arial" w:cs="Arial"/>
          <w:sz w:val="24"/>
          <w:szCs w:val="24"/>
        </w:rPr>
        <w:t>The mother f</w:t>
      </w:r>
      <w:r w:rsidR="00C974A5">
        <w:rPr>
          <w:rFonts w:ascii="Arial" w:hAnsi="Arial" w:cs="Arial"/>
          <w:sz w:val="24"/>
          <w:szCs w:val="24"/>
        </w:rPr>
        <w:t>ell</w:t>
      </w:r>
      <w:r w:rsidRPr="002F0B71">
        <w:rPr>
          <w:rFonts w:ascii="Arial" w:hAnsi="Arial" w:cs="Arial"/>
          <w:sz w:val="24"/>
          <w:szCs w:val="24"/>
        </w:rPr>
        <w:t xml:space="preserve"> significantly short of being able to meet the child’s needs.</w:t>
      </w:r>
    </w:p>
    <w:p w14:paraId="5FF3E020" w14:textId="77777777" w:rsidR="005900F5" w:rsidRDefault="005900F5" w:rsidP="005900F5">
      <w:pPr>
        <w:pStyle w:val="ListParagraph"/>
        <w:rPr>
          <w:rFonts w:ascii="Arial" w:hAnsi="Arial" w:cs="Arial"/>
          <w:sz w:val="24"/>
          <w:szCs w:val="24"/>
        </w:rPr>
      </w:pPr>
    </w:p>
    <w:p w14:paraId="29EA126E" w14:textId="77777777" w:rsidR="005900F5" w:rsidRDefault="005900F5" w:rsidP="005900F5">
      <w:pPr>
        <w:pStyle w:val="ListParagraph"/>
        <w:numPr>
          <w:ilvl w:val="0"/>
          <w:numId w:val="17"/>
        </w:numPr>
        <w:ind w:left="720"/>
        <w:rPr>
          <w:rFonts w:ascii="Arial" w:hAnsi="Arial" w:cs="Arial"/>
          <w:sz w:val="24"/>
          <w:szCs w:val="24"/>
        </w:rPr>
      </w:pPr>
      <w:r>
        <w:rPr>
          <w:rFonts w:ascii="Arial" w:hAnsi="Arial" w:cs="Arial"/>
          <w:sz w:val="24"/>
          <w:szCs w:val="24"/>
        </w:rPr>
        <w:t>The nature of the presentation in the child when he was apprehended is characteristic of long-term neglect.</w:t>
      </w:r>
    </w:p>
    <w:p w14:paraId="13D1C188" w14:textId="77777777" w:rsidR="005900F5" w:rsidRDefault="005900F5" w:rsidP="005900F5">
      <w:pPr>
        <w:pStyle w:val="ListParagraph"/>
        <w:ind w:left="360"/>
        <w:rPr>
          <w:rFonts w:ascii="Arial" w:hAnsi="Arial" w:cs="Arial"/>
          <w:sz w:val="24"/>
          <w:szCs w:val="24"/>
        </w:rPr>
      </w:pPr>
    </w:p>
    <w:p w14:paraId="70FA4164" w14:textId="77777777" w:rsidR="005900F5" w:rsidRPr="00C974A5" w:rsidRDefault="005900F5" w:rsidP="00C974A5">
      <w:pPr>
        <w:rPr>
          <w:rFonts w:ascii="Arial" w:hAnsi="Arial" w:cs="Arial"/>
          <w:sz w:val="24"/>
          <w:szCs w:val="24"/>
        </w:rPr>
      </w:pPr>
      <w:r w:rsidRPr="00C974A5">
        <w:rPr>
          <w:rFonts w:ascii="Arial" w:hAnsi="Arial" w:cs="Arial"/>
          <w:sz w:val="24"/>
          <w:szCs w:val="24"/>
        </w:rPr>
        <w:t xml:space="preserve">Dr. Wittenberg also gave evidence about how neglect in a child is assessed.  He testified that one </w:t>
      </w:r>
      <w:proofErr w:type="gramStart"/>
      <w:r w:rsidRPr="00C974A5">
        <w:rPr>
          <w:rFonts w:ascii="Arial" w:hAnsi="Arial" w:cs="Arial"/>
          <w:sz w:val="24"/>
          <w:szCs w:val="24"/>
        </w:rPr>
        <w:t>has to</w:t>
      </w:r>
      <w:proofErr w:type="gramEnd"/>
      <w:r w:rsidRPr="00C974A5">
        <w:rPr>
          <w:rFonts w:ascii="Arial" w:hAnsi="Arial" w:cs="Arial"/>
          <w:sz w:val="24"/>
          <w:szCs w:val="24"/>
        </w:rPr>
        <w:t xml:space="preserve"> know what you are looking for to detect neglect.  He testified that an Early Childhood Educator at a community drop-in centre could miss signs of neglect if they did not conduct a specific assessment using standardized instruments related to the relevant areas of development.</w:t>
      </w:r>
    </w:p>
    <w:p w14:paraId="4BAB8201" w14:textId="77777777" w:rsidR="005900F5" w:rsidRDefault="005900F5" w:rsidP="005900F5">
      <w:pPr>
        <w:rPr>
          <w:rFonts w:ascii="Arial" w:hAnsi="Arial" w:cs="Arial"/>
          <w:sz w:val="24"/>
          <w:szCs w:val="24"/>
        </w:rPr>
      </w:pPr>
      <w:r>
        <w:rPr>
          <w:rFonts w:ascii="Arial" w:hAnsi="Arial" w:cs="Arial"/>
          <w:sz w:val="24"/>
          <w:szCs w:val="24"/>
        </w:rPr>
        <w:t xml:space="preserve">After hearing Dr. Wittenberg’s opinion evidence, the trial judge made a final order of Crown Wardship with no access for the purpose of adoption.  </w:t>
      </w:r>
    </w:p>
    <w:p w14:paraId="0DA730C4" w14:textId="00007CF3" w:rsidR="005900F5" w:rsidRDefault="005900F5" w:rsidP="005900F5">
      <w:pPr>
        <w:rPr>
          <w:rFonts w:ascii="Arial" w:hAnsi="Arial" w:cs="Arial"/>
          <w:sz w:val="24"/>
          <w:szCs w:val="24"/>
        </w:rPr>
      </w:pPr>
      <w:r>
        <w:rPr>
          <w:rFonts w:ascii="Arial" w:hAnsi="Arial" w:cs="Arial"/>
          <w:sz w:val="24"/>
          <w:szCs w:val="24"/>
        </w:rPr>
        <w:t>On appeal of the trial judge’s decision, the mother claimed that the assessor had usurped the role of the trial judge.  The appeal judge found that Dr. Wittenberg, as an expert in child development, was qualified to offer opinion evidence on whether the neglect was short-term or long-term and it was open to the trial judge to rely upon that opinion.  The court found that Dr. Wittenberg provided “specialized information outside the trial judge’s knowledge and experience.”  The appeal court also found that the expert did not provide an opinion on the ultimate question of whether to make the child a Crown Ward or whether the mother should have access and that this decision was made by the trial judge upon review of the totality of the evidence heard.</w:t>
      </w:r>
      <w:r w:rsidR="000406EA">
        <w:rPr>
          <w:rStyle w:val="FootnoteReference"/>
          <w:rFonts w:ascii="Arial" w:hAnsi="Arial" w:cs="Arial"/>
          <w:sz w:val="24"/>
          <w:szCs w:val="24"/>
        </w:rPr>
        <w:footnoteReference w:id="70"/>
      </w:r>
    </w:p>
    <w:p w14:paraId="36B13B58" w14:textId="77777777" w:rsidR="009B035E" w:rsidRDefault="009B035E" w:rsidP="005900F5">
      <w:pPr>
        <w:rPr>
          <w:rFonts w:ascii="Arial" w:hAnsi="Arial" w:cs="Arial"/>
          <w:b/>
          <w:bCs/>
          <w:sz w:val="24"/>
          <w:szCs w:val="24"/>
          <w:u w:val="single"/>
        </w:rPr>
      </w:pPr>
    </w:p>
    <w:p w14:paraId="1CFFE4EA" w14:textId="0930F846" w:rsidR="0064020A" w:rsidRPr="0064020A" w:rsidRDefault="00095BAB" w:rsidP="005900F5">
      <w:pPr>
        <w:rPr>
          <w:rFonts w:ascii="Arial" w:hAnsi="Arial" w:cs="Arial"/>
          <w:b/>
          <w:bCs/>
          <w:sz w:val="24"/>
          <w:szCs w:val="24"/>
          <w:u w:val="single"/>
        </w:rPr>
      </w:pPr>
      <w:r w:rsidRPr="0064020A">
        <w:rPr>
          <w:rFonts w:ascii="Arial" w:hAnsi="Arial" w:cs="Arial"/>
          <w:b/>
          <w:bCs/>
          <w:sz w:val="24"/>
          <w:szCs w:val="24"/>
          <w:u w:val="single"/>
        </w:rPr>
        <w:t xml:space="preserve">P.D. v. The Children’s Aid Society of the Region of Peel and K.D. </w:t>
      </w:r>
      <w:r w:rsidR="0064020A" w:rsidRPr="0064020A">
        <w:rPr>
          <w:rFonts w:ascii="Arial" w:hAnsi="Arial" w:cs="Arial"/>
          <w:b/>
          <w:bCs/>
          <w:sz w:val="24"/>
          <w:szCs w:val="24"/>
          <w:u w:val="single"/>
        </w:rPr>
        <w:t>2022 ONSC 1817</w:t>
      </w:r>
    </w:p>
    <w:p w14:paraId="62067EDB" w14:textId="647FD624" w:rsidR="005900F5" w:rsidRDefault="0064020A" w:rsidP="005900F5">
      <w:pPr>
        <w:rPr>
          <w:rFonts w:ascii="Arial" w:hAnsi="Arial" w:cs="Arial"/>
          <w:sz w:val="24"/>
          <w:szCs w:val="24"/>
        </w:rPr>
      </w:pPr>
      <w:r>
        <w:rPr>
          <w:rFonts w:ascii="Arial" w:hAnsi="Arial" w:cs="Arial"/>
          <w:sz w:val="24"/>
          <w:szCs w:val="24"/>
        </w:rPr>
        <w:t>Th</w:t>
      </w:r>
      <w:r w:rsidR="00BE3C56">
        <w:rPr>
          <w:rFonts w:ascii="Arial" w:hAnsi="Arial" w:cs="Arial"/>
          <w:sz w:val="24"/>
          <w:szCs w:val="24"/>
        </w:rPr>
        <w:t xml:space="preserve">is </w:t>
      </w:r>
      <w:r w:rsidR="005900F5">
        <w:rPr>
          <w:rFonts w:ascii="Arial" w:hAnsi="Arial" w:cs="Arial"/>
          <w:sz w:val="24"/>
          <w:szCs w:val="24"/>
        </w:rPr>
        <w:t xml:space="preserve">recent 2022 appeal decision </w:t>
      </w:r>
      <w:r w:rsidR="00BE3C56">
        <w:rPr>
          <w:rFonts w:ascii="Arial" w:hAnsi="Arial" w:cs="Arial"/>
          <w:sz w:val="24"/>
          <w:szCs w:val="24"/>
        </w:rPr>
        <w:t xml:space="preserve">also </w:t>
      </w:r>
      <w:r w:rsidR="005900F5">
        <w:rPr>
          <w:rFonts w:ascii="Arial" w:hAnsi="Arial" w:cs="Arial"/>
          <w:sz w:val="24"/>
          <w:szCs w:val="24"/>
        </w:rPr>
        <w:t>deals with a ground of appeal related to the opinion evidence of a parenting capacity assessor.</w:t>
      </w:r>
      <w:r w:rsidR="005900F5">
        <w:rPr>
          <w:rStyle w:val="FootnoteReference"/>
          <w:rFonts w:ascii="Arial" w:hAnsi="Arial" w:cs="Arial"/>
          <w:sz w:val="24"/>
          <w:szCs w:val="24"/>
        </w:rPr>
        <w:footnoteReference w:id="71"/>
      </w:r>
      <w:r w:rsidR="005900F5">
        <w:rPr>
          <w:rFonts w:ascii="Arial" w:hAnsi="Arial" w:cs="Arial"/>
          <w:sz w:val="24"/>
          <w:szCs w:val="24"/>
        </w:rPr>
        <w:t xml:space="preserve">  In this case, a self-represented mother </w:t>
      </w:r>
      <w:r w:rsidR="00BE4AF8">
        <w:rPr>
          <w:rFonts w:ascii="Arial" w:hAnsi="Arial" w:cs="Arial"/>
          <w:sz w:val="24"/>
          <w:szCs w:val="24"/>
        </w:rPr>
        <w:t xml:space="preserve">brought </w:t>
      </w:r>
      <w:r w:rsidR="005900F5">
        <w:rPr>
          <w:rFonts w:ascii="Arial" w:hAnsi="Arial" w:cs="Arial"/>
          <w:sz w:val="24"/>
          <w:szCs w:val="24"/>
        </w:rPr>
        <w:t xml:space="preserve">an appeal </w:t>
      </w:r>
      <w:r w:rsidR="00BE4AF8">
        <w:rPr>
          <w:rFonts w:ascii="Arial" w:hAnsi="Arial" w:cs="Arial"/>
          <w:sz w:val="24"/>
          <w:szCs w:val="24"/>
        </w:rPr>
        <w:t xml:space="preserve">of a trial decision where </w:t>
      </w:r>
      <w:r w:rsidR="005900F5">
        <w:rPr>
          <w:rFonts w:ascii="Arial" w:hAnsi="Arial" w:cs="Arial"/>
          <w:sz w:val="24"/>
          <w:szCs w:val="24"/>
        </w:rPr>
        <w:t xml:space="preserve">a section 102 order </w:t>
      </w:r>
      <w:r w:rsidR="00BE4AF8">
        <w:rPr>
          <w:rFonts w:ascii="Arial" w:hAnsi="Arial" w:cs="Arial"/>
          <w:sz w:val="24"/>
          <w:szCs w:val="24"/>
        </w:rPr>
        <w:t xml:space="preserve">had been made </w:t>
      </w:r>
      <w:r w:rsidR="005900F5">
        <w:rPr>
          <w:rFonts w:ascii="Arial" w:hAnsi="Arial" w:cs="Arial"/>
          <w:sz w:val="24"/>
          <w:szCs w:val="24"/>
        </w:rPr>
        <w:t xml:space="preserve">after a </w:t>
      </w:r>
      <w:proofErr w:type="gramStart"/>
      <w:r w:rsidR="005900F5">
        <w:rPr>
          <w:rFonts w:ascii="Arial" w:hAnsi="Arial" w:cs="Arial"/>
          <w:sz w:val="24"/>
          <w:szCs w:val="24"/>
        </w:rPr>
        <w:t>16 day</w:t>
      </w:r>
      <w:proofErr w:type="gramEnd"/>
      <w:r w:rsidR="005900F5">
        <w:rPr>
          <w:rFonts w:ascii="Arial" w:hAnsi="Arial" w:cs="Arial"/>
          <w:sz w:val="24"/>
          <w:szCs w:val="24"/>
        </w:rPr>
        <w:t xml:space="preserve"> trial placing a child in the care of her father with supervised access to the mother.  </w:t>
      </w:r>
    </w:p>
    <w:p w14:paraId="2E3D857B" w14:textId="77777777" w:rsidR="005900F5" w:rsidRDefault="005900F5" w:rsidP="005900F5">
      <w:pPr>
        <w:rPr>
          <w:rFonts w:ascii="Arial" w:hAnsi="Arial" w:cs="Arial"/>
          <w:sz w:val="24"/>
          <w:szCs w:val="24"/>
        </w:rPr>
      </w:pPr>
      <w:r>
        <w:rPr>
          <w:rFonts w:ascii="Arial" w:hAnsi="Arial" w:cs="Arial"/>
          <w:sz w:val="24"/>
          <w:szCs w:val="24"/>
        </w:rPr>
        <w:t>Prior to the trial, a section 98 order was issued for what was referred to as a parenting capacity/psychological assessment.  One of the mother’s grounds of appeal was that the trial judge had erred in law by permitting Dr. Wittenberg to testify outside of his area of expertise.  Specifically, she was concerned that Dr. Wittenberg was not qualified to diagnose her with a personality disorder.</w:t>
      </w:r>
    </w:p>
    <w:p w14:paraId="09368512" w14:textId="77777777" w:rsidR="005900F5" w:rsidRDefault="005900F5" w:rsidP="005900F5">
      <w:pPr>
        <w:rPr>
          <w:rFonts w:ascii="Arial" w:hAnsi="Arial" w:cs="Arial"/>
          <w:sz w:val="24"/>
          <w:szCs w:val="24"/>
        </w:rPr>
      </w:pPr>
      <w:r>
        <w:rPr>
          <w:rFonts w:ascii="Arial" w:hAnsi="Arial" w:cs="Arial"/>
          <w:sz w:val="24"/>
          <w:szCs w:val="24"/>
        </w:rPr>
        <w:lastRenderedPageBreak/>
        <w:t>The appeal court rejected this ground of appeal.  The court reviewed that the trial judge was “particularly attuned to the areas of expertise in which Dr. Wittenberg was permitted to give opinion evidence.”</w:t>
      </w:r>
      <w:r>
        <w:rPr>
          <w:rStyle w:val="FootnoteReference"/>
          <w:rFonts w:ascii="Arial" w:hAnsi="Arial" w:cs="Arial"/>
          <w:sz w:val="24"/>
          <w:szCs w:val="24"/>
        </w:rPr>
        <w:footnoteReference w:id="72"/>
      </w:r>
      <w:r>
        <w:rPr>
          <w:rFonts w:ascii="Arial" w:hAnsi="Arial" w:cs="Arial"/>
          <w:sz w:val="24"/>
          <w:szCs w:val="24"/>
        </w:rPr>
        <w:t xml:space="preserve">  The court commented on the trial evidence as follows:</w:t>
      </w:r>
      <w:r>
        <w:rPr>
          <w:rStyle w:val="FootnoteReference"/>
          <w:rFonts w:ascii="Arial" w:hAnsi="Arial" w:cs="Arial"/>
          <w:sz w:val="24"/>
          <w:szCs w:val="24"/>
        </w:rPr>
        <w:footnoteReference w:id="73"/>
      </w:r>
    </w:p>
    <w:p w14:paraId="0B9BBEA9" w14:textId="77777777" w:rsidR="005900F5" w:rsidRDefault="005900F5" w:rsidP="005900F5">
      <w:pPr>
        <w:ind w:left="720"/>
        <w:rPr>
          <w:rFonts w:ascii="Arial" w:hAnsi="Arial" w:cs="Arial"/>
          <w:sz w:val="24"/>
          <w:szCs w:val="24"/>
        </w:rPr>
      </w:pPr>
      <w:r>
        <w:rPr>
          <w:rFonts w:ascii="Arial" w:hAnsi="Arial" w:cs="Arial"/>
          <w:sz w:val="24"/>
          <w:szCs w:val="24"/>
        </w:rPr>
        <w:t>Dr. Wittenberg admitted that he is not a psychologist and therefore cannot do a psychological assessment, but then added, “[…] part of a parenting capacity assessment is to understand, and the – actually, the area of my greatest expertise has to do with the interactions, and how a parent’s psychology affects the development and psychology of a child.”  He testified that his report did just that.</w:t>
      </w:r>
    </w:p>
    <w:p w14:paraId="70EE18EE" w14:textId="04B2F723" w:rsidR="005900F5" w:rsidRDefault="005900F5" w:rsidP="005900F5">
      <w:pPr>
        <w:rPr>
          <w:rFonts w:ascii="Arial" w:hAnsi="Arial" w:cs="Arial"/>
          <w:sz w:val="24"/>
          <w:szCs w:val="24"/>
        </w:rPr>
      </w:pPr>
      <w:r>
        <w:rPr>
          <w:rFonts w:ascii="Arial" w:hAnsi="Arial" w:cs="Arial"/>
          <w:sz w:val="24"/>
          <w:szCs w:val="24"/>
        </w:rPr>
        <w:t>The appeal court found that “the evidence of Dr. Wittenberg was clearly relevant, necessary, and not subject to an exclusionary rule</w:t>
      </w:r>
      <w:r w:rsidR="006E600B">
        <w:rPr>
          <w:rFonts w:ascii="Arial" w:hAnsi="Arial" w:cs="Arial"/>
          <w:sz w:val="24"/>
          <w:szCs w:val="24"/>
        </w:rPr>
        <w:t>”</w:t>
      </w:r>
      <w:r>
        <w:rPr>
          <w:rFonts w:ascii="Arial" w:hAnsi="Arial" w:cs="Arial"/>
          <w:sz w:val="24"/>
          <w:szCs w:val="24"/>
        </w:rPr>
        <w:t>.  The court found that Dr. Wittenberg was qualified to provide parenting capacity opinion evidence and</w:t>
      </w:r>
      <w:proofErr w:type="gramStart"/>
      <w:r>
        <w:rPr>
          <w:rFonts w:ascii="Arial" w:hAnsi="Arial" w:cs="Arial"/>
          <w:sz w:val="24"/>
          <w:szCs w:val="24"/>
        </w:rPr>
        <w:t>, in particular, was</w:t>
      </w:r>
      <w:proofErr w:type="gramEnd"/>
      <w:r>
        <w:rPr>
          <w:rFonts w:ascii="Arial" w:hAnsi="Arial" w:cs="Arial"/>
          <w:sz w:val="24"/>
          <w:szCs w:val="24"/>
        </w:rPr>
        <w:t xml:space="preserve"> qualified to answer the questions put to him in the section 98 order.</w:t>
      </w:r>
      <w:r>
        <w:rPr>
          <w:rStyle w:val="FootnoteReference"/>
          <w:rFonts w:ascii="Arial" w:hAnsi="Arial" w:cs="Arial"/>
          <w:sz w:val="24"/>
          <w:szCs w:val="24"/>
        </w:rPr>
        <w:footnoteReference w:id="74"/>
      </w:r>
      <w:r>
        <w:rPr>
          <w:rFonts w:ascii="Arial" w:hAnsi="Arial" w:cs="Arial"/>
          <w:sz w:val="24"/>
          <w:szCs w:val="24"/>
        </w:rPr>
        <w:t xml:space="preserve">  The court further found as follows:</w:t>
      </w:r>
      <w:r>
        <w:rPr>
          <w:rStyle w:val="FootnoteReference"/>
          <w:rFonts w:ascii="Arial" w:hAnsi="Arial" w:cs="Arial"/>
          <w:sz w:val="24"/>
          <w:szCs w:val="24"/>
        </w:rPr>
        <w:footnoteReference w:id="75"/>
      </w:r>
    </w:p>
    <w:p w14:paraId="1AF55F6D" w14:textId="737F91CA" w:rsidR="0005378B" w:rsidRDefault="009650B3" w:rsidP="0005378B">
      <w:pPr>
        <w:ind w:left="720"/>
        <w:rPr>
          <w:rFonts w:ascii="Arial" w:hAnsi="Arial" w:cs="Arial"/>
          <w:sz w:val="24"/>
          <w:szCs w:val="24"/>
        </w:rPr>
      </w:pPr>
      <w:r>
        <w:rPr>
          <w:rFonts w:ascii="Arial" w:hAnsi="Arial" w:cs="Arial"/>
          <w:sz w:val="24"/>
          <w:szCs w:val="24"/>
        </w:rPr>
        <w:t xml:space="preserve">[80] </w:t>
      </w:r>
      <w:r w:rsidR="0005378B">
        <w:rPr>
          <w:rFonts w:ascii="Arial" w:hAnsi="Arial" w:cs="Arial"/>
          <w:sz w:val="24"/>
          <w:szCs w:val="24"/>
        </w:rPr>
        <w:t xml:space="preserve">In addition, I find that the trial judge exercised his role as a gatekeeper properly.  While the </w:t>
      </w:r>
      <w:proofErr w:type="gramStart"/>
      <w:r w:rsidR="0005378B">
        <w:rPr>
          <w:rFonts w:ascii="Arial" w:hAnsi="Arial" w:cs="Arial"/>
          <w:sz w:val="24"/>
          <w:szCs w:val="24"/>
        </w:rPr>
        <w:t>Mother</w:t>
      </w:r>
      <w:proofErr w:type="gramEnd"/>
      <w:r w:rsidR="0005378B">
        <w:rPr>
          <w:rFonts w:ascii="Arial" w:hAnsi="Arial" w:cs="Arial"/>
          <w:sz w:val="24"/>
          <w:szCs w:val="24"/>
        </w:rPr>
        <w:t xml:space="preserve"> focused on her diagnosis of a personality disorder, that was only one part of Dr. Wittenberg’s overall analysis.  The remainder of the questions posed to Dr. Wittenberg were in areas that also fall squarely within his area of expertise, and with which the </w:t>
      </w:r>
      <w:proofErr w:type="gramStart"/>
      <w:r w:rsidR="0005378B">
        <w:rPr>
          <w:rFonts w:ascii="Arial" w:hAnsi="Arial" w:cs="Arial"/>
          <w:sz w:val="24"/>
          <w:szCs w:val="24"/>
        </w:rPr>
        <w:t>Mother</w:t>
      </w:r>
      <w:proofErr w:type="gramEnd"/>
      <w:r w:rsidR="0005378B">
        <w:rPr>
          <w:rFonts w:ascii="Arial" w:hAnsi="Arial" w:cs="Arial"/>
          <w:sz w:val="24"/>
          <w:szCs w:val="24"/>
        </w:rPr>
        <w:t xml:space="preserve"> takes no position.  </w:t>
      </w:r>
      <w:r w:rsidR="00FA0C86">
        <w:rPr>
          <w:rFonts w:ascii="Arial" w:hAnsi="Arial" w:cs="Arial"/>
          <w:sz w:val="24"/>
          <w:szCs w:val="24"/>
        </w:rPr>
        <w:t xml:space="preserve">. . . </w:t>
      </w:r>
      <w:r w:rsidR="0005378B">
        <w:rPr>
          <w:rFonts w:ascii="Arial" w:hAnsi="Arial" w:cs="Arial"/>
          <w:sz w:val="24"/>
          <w:szCs w:val="24"/>
        </w:rPr>
        <w:t>A possible psychological or psychiatric diagnosis was only one part of his overall opinion.  Given the many facets of Dr. Wittenberg’s opinion, the trial judge was correct in finding that the potential benefits of Dr. Wittenberg’s evidence justify the risks of so admitting.</w:t>
      </w:r>
    </w:p>
    <w:p w14:paraId="525AA5D9" w14:textId="47F98A26" w:rsidR="0005378B" w:rsidRDefault="009650B3" w:rsidP="0005378B">
      <w:pPr>
        <w:ind w:left="720"/>
        <w:rPr>
          <w:rFonts w:ascii="Arial" w:hAnsi="Arial" w:cs="Arial"/>
          <w:sz w:val="24"/>
          <w:szCs w:val="24"/>
        </w:rPr>
      </w:pPr>
      <w:r>
        <w:rPr>
          <w:rFonts w:ascii="Arial" w:hAnsi="Arial" w:cs="Arial"/>
          <w:sz w:val="24"/>
          <w:szCs w:val="24"/>
        </w:rPr>
        <w:t xml:space="preserve">[81] </w:t>
      </w:r>
      <w:r w:rsidR="0005378B">
        <w:rPr>
          <w:rFonts w:ascii="Arial" w:hAnsi="Arial" w:cs="Arial"/>
          <w:sz w:val="24"/>
          <w:szCs w:val="24"/>
        </w:rPr>
        <w:t xml:space="preserve">Accordingly, I find that the trial judge focused on the impact of the </w:t>
      </w:r>
      <w:proofErr w:type="gramStart"/>
      <w:r w:rsidR="0005378B">
        <w:rPr>
          <w:rFonts w:ascii="Arial" w:hAnsi="Arial" w:cs="Arial"/>
          <w:sz w:val="24"/>
          <w:szCs w:val="24"/>
        </w:rPr>
        <w:t>Mother’s</w:t>
      </w:r>
      <w:proofErr w:type="gramEnd"/>
      <w:r w:rsidR="0005378B">
        <w:rPr>
          <w:rFonts w:ascii="Arial" w:hAnsi="Arial" w:cs="Arial"/>
          <w:sz w:val="24"/>
          <w:szCs w:val="24"/>
        </w:rPr>
        <w:t xml:space="preserve"> behaviour, not her diagnosis, when determining the risk of harm to the child.  The trial judge relies on Dr. Wittenberg’s focus on the behaviour of the </w:t>
      </w:r>
      <w:proofErr w:type="gramStart"/>
      <w:r w:rsidR="0005378B">
        <w:rPr>
          <w:rFonts w:ascii="Arial" w:hAnsi="Arial" w:cs="Arial"/>
          <w:sz w:val="24"/>
          <w:szCs w:val="24"/>
        </w:rPr>
        <w:t>Mother</w:t>
      </w:r>
      <w:proofErr w:type="gramEnd"/>
      <w:r w:rsidR="0005378B">
        <w:rPr>
          <w:rFonts w:ascii="Arial" w:hAnsi="Arial" w:cs="Arial"/>
          <w:sz w:val="24"/>
          <w:szCs w:val="24"/>
        </w:rPr>
        <w:t xml:space="preserve"> and </w:t>
      </w:r>
      <w:r w:rsidR="0005378B" w:rsidRPr="00D85A77">
        <w:rPr>
          <w:rFonts w:ascii="Arial" w:hAnsi="Arial" w:cs="Arial"/>
          <w:i/>
          <w:iCs/>
          <w:sz w:val="24"/>
          <w:szCs w:val="24"/>
        </w:rPr>
        <w:t>impact</w:t>
      </w:r>
      <w:r w:rsidR="0005378B">
        <w:rPr>
          <w:rFonts w:ascii="Arial" w:hAnsi="Arial" w:cs="Arial"/>
          <w:sz w:val="24"/>
          <w:szCs w:val="24"/>
        </w:rPr>
        <w:t xml:space="preserve"> of the Mother’s behaviour on the physical, emotional, and psychological health of the child, which is the focus of a parenting capacity assessment.  The trial judge also considered Dr. Wittenberg’s conclusion that the child is suffering emotional harm when living with the </w:t>
      </w:r>
      <w:proofErr w:type="gramStart"/>
      <w:r w:rsidR="0005378B">
        <w:rPr>
          <w:rFonts w:ascii="Arial" w:hAnsi="Arial" w:cs="Arial"/>
          <w:sz w:val="24"/>
          <w:szCs w:val="24"/>
        </w:rPr>
        <w:t>Mother</w:t>
      </w:r>
      <w:proofErr w:type="gramEnd"/>
      <w:r w:rsidR="0005378B">
        <w:rPr>
          <w:rFonts w:ascii="Arial" w:hAnsi="Arial" w:cs="Arial"/>
          <w:sz w:val="24"/>
          <w:szCs w:val="24"/>
        </w:rPr>
        <w:t xml:space="preserve"> and that it will be exacerbated in the future if a change in custody is not made.  I see no error of law.</w:t>
      </w:r>
    </w:p>
    <w:p w14:paraId="6F385609" w14:textId="40515F35" w:rsidR="00DD1260" w:rsidRDefault="00DD1260" w:rsidP="003070AE">
      <w:pPr>
        <w:rPr>
          <w:rFonts w:ascii="Arial" w:hAnsi="Arial" w:cs="Arial"/>
          <w:b/>
          <w:bCs/>
          <w:sz w:val="24"/>
          <w:szCs w:val="24"/>
        </w:rPr>
      </w:pPr>
    </w:p>
    <w:p w14:paraId="0CBE5A63" w14:textId="7D9E422E" w:rsidR="00D900B4" w:rsidRDefault="00D900B4" w:rsidP="003070AE">
      <w:pPr>
        <w:rPr>
          <w:rFonts w:ascii="Arial" w:hAnsi="Arial" w:cs="Arial"/>
          <w:b/>
          <w:bCs/>
          <w:sz w:val="24"/>
          <w:szCs w:val="24"/>
        </w:rPr>
      </w:pPr>
    </w:p>
    <w:p w14:paraId="3B5DE415" w14:textId="77777777" w:rsidR="00D900B4" w:rsidRDefault="00D900B4" w:rsidP="003070AE">
      <w:pPr>
        <w:rPr>
          <w:rFonts w:ascii="Arial" w:hAnsi="Arial" w:cs="Arial"/>
          <w:b/>
          <w:bCs/>
          <w:sz w:val="24"/>
          <w:szCs w:val="24"/>
        </w:rPr>
      </w:pPr>
    </w:p>
    <w:p w14:paraId="0D1CBBD4" w14:textId="1F71E3AE" w:rsidR="004E494A" w:rsidRPr="002A1112" w:rsidRDefault="005B618D" w:rsidP="003070AE">
      <w:pPr>
        <w:rPr>
          <w:rFonts w:ascii="Arial" w:hAnsi="Arial" w:cs="Arial"/>
          <w:b/>
          <w:bCs/>
          <w:sz w:val="24"/>
          <w:szCs w:val="24"/>
        </w:rPr>
      </w:pPr>
      <w:r w:rsidRPr="002A1112">
        <w:rPr>
          <w:rFonts w:ascii="Arial" w:hAnsi="Arial" w:cs="Arial"/>
          <w:b/>
          <w:bCs/>
          <w:sz w:val="24"/>
          <w:szCs w:val="24"/>
        </w:rPr>
        <w:lastRenderedPageBreak/>
        <w:t xml:space="preserve">Cases where </w:t>
      </w:r>
      <w:r w:rsidR="00C72EA1" w:rsidRPr="002A1112">
        <w:rPr>
          <w:rFonts w:ascii="Arial" w:hAnsi="Arial" w:cs="Arial"/>
          <w:b/>
          <w:bCs/>
          <w:sz w:val="24"/>
          <w:szCs w:val="24"/>
        </w:rPr>
        <w:t>Parenting Capacity Reports have been Excluded</w:t>
      </w:r>
      <w:r w:rsidR="006962C1">
        <w:rPr>
          <w:rFonts w:ascii="Arial" w:hAnsi="Arial" w:cs="Arial"/>
          <w:b/>
          <w:bCs/>
          <w:sz w:val="24"/>
          <w:szCs w:val="24"/>
        </w:rPr>
        <w:t xml:space="preserve"> or Assigned Minimal Weight</w:t>
      </w:r>
    </w:p>
    <w:p w14:paraId="1A0B94B4" w14:textId="77F772B9" w:rsidR="00D9566F" w:rsidRDefault="00574DB3" w:rsidP="003070AE">
      <w:pPr>
        <w:rPr>
          <w:rFonts w:ascii="Arial" w:hAnsi="Arial" w:cs="Arial"/>
          <w:sz w:val="24"/>
          <w:szCs w:val="24"/>
        </w:rPr>
      </w:pPr>
      <w:r>
        <w:rPr>
          <w:rFonts w:ascii="Arial" w:hAnsi="Arial" w:cs="Arial"/>
          <w:sz w:val="24"/>
          <w:szCs w:val="24"/>
        </w:rPr>
        <w:t>There have been</w:t>
      </w:r>
      <w:r w:rsidR="001B6564">
        <w:rPr>
          <w:rFonts w:ascii="Arial" w:hAnsi="Arial" w:cs="Arial"/>
          <w:sz w:val="24"/>
          <w:szCs w:val="24"/>
        </w:rPr>
        <w:t xml:space="preserve"> some recent</w:t>
      </w:r>
      <w:r>
        <w:rPr>
          <w:rFonts w:ascii="Arial" w:hAnsi="Arial" w:cs="Arial"/>
          <w:sz w:val="24"/>
          <w:szCs w:val="24"/>
        </w:rPr>
        <w:t xml:space="preserve"> cases where </w:t>
      </w:r>
      <w:r w:rsidR="00C8281B">
        <w:rPr>
          <w:rFonts w:ascii="Arial" w:hAnsi="Arial" w:cs="Arial"/>
          <w:sz w:val="24"/>
          <w:szCs w:val="24"/>
        </w:rPr>
        <w:t xml:space="preserve">serious </w:t>
      </w:r>
      <w:r w:rsidR="00F078CB">
        <w:rPr>
          <w:rFonts w:ascii="Arial" w:hAnsi="Arial" w:cs="Arial"/>
          <w:sz w:val="24"/>
          <w:szCs w:val="24"/>
        </w:rPr>
        <w:t>concern</w:t>
      </w:r>
      <w:r w:rsidR="00D93A2C">
        <w:rPr>
          <w:rFonts w:ascii="Arial" w:hAnsi="Arial" w:cs="Arial"/>
          <w:sz w:val="24"/>
          <w:szCs w:val="24"/>
        </w:rPr>
        <w:t>s</w:t>
      </w:r>
      <w:r w:rsidR="00F078CB">
        <w:rPr>
          <w:rFonts w:ascii="Arial" w:hAnsi="Arial" w:cs="Arial"/>
          <w:sz w:val="24"/>
          <w:szCs w:val="24"/>
        </w:rPr>
        <w:t xml:space="preserve"> </w:t>
      </w:r>
      <w:r w:rsidR="001B6564">
        <w:rPr>
          <w:rFonts w:ascii="Arial" w:hAnsi="Arial" w:cs="Arial"/>
          <w:sz w:val="24"/>
          <w:szCs w:val="24"/>
        </w:rPr>
        <w:t xml:space="preserve">have arisen </w:t>
      </w:r>
      <w:r w:rsidR="00F078CB">
        <w:rPr>
          <w:rFonts w:ascii="Arial" w:hAnsi="Arial" w:cs="Arial"/>
          <w:sz w:val="24"/>
          <w:szCs w:val="24"/>
        </w:rPr>
        <w:t xml:space="preserve">about some aspect of an assessor’s </w:t>
      </w:r>
      <w:proofErr w:type="gramStart"/>
      <w:r w:rsidR="00F078CB">
        <w:rPr>
          <w:rFonts w:ascii="Arial" w:hAnsi="Arial" w:cs="Arial"/>
          <w:sz w:val="24"/>
          <w:szCs w:val="24"/>
        </w:rPr>
        <w:t>credentials</w:t>
      </w:r>
      <w:proofErr w:type="gramEnd"/>
      <w:r w:rsidR="00F078CB">
        <w:rPr>
          <w:rFonts w:ascii="Arial" w:hAnsi="Arial" w:cs="Arial"/>
          <w:sz w:val="24"/>
          <w:szCs w:val="24"/>
        </w:rPr>
        <w:t xml:space="preserve"> or the methodology employed in the </w:t>
      </w:r>
      <w:r w:rsidR="00091E85">
        <w:rPr>
          <w:rFonts w:ascii="Arial" w:hAnsi="Arial" w:cs="Arial"/>
          <w:sz w:val="24"/>
          <w:szCs w:val="24"/>
        </w:rPr>
        <w:t>course of their assessments</w:t>
      </w:r>
      <w:r w:rsidR="007A3502">
        <w:rPr>
          <w:rFonts w:ascii="Arial" w:hAnsi="Arial" w:cs="Arial"/>
          <w:sz w:val="24"/>
          <w:szCs w:val="24"/>
        </w:rPr>
        <w:t xml:space="preserve"> </w:t>
      </w:r>
      <w:r w:rsidR="00C5153D">
        <w:rPr>
          <w:rFonts w:ascii="Arial" w:hAnsi="Arial" w:cs="Arial"/>
          <w:sz w:val="24"/>
          <w:szCs w:val="24"/>
        </w:rPr>
        <w:t>or both</w:t>
      </w:r>
      <w:r w:rsidR="00F078CB">
        <w:rPr>
          <w:rFonts w:ascii="Arial" w:hAnsi="Arial" w:cs="Arial"/>
          <w:sz w:val="24"/>
          <w:szCs w:val="24"/>
        </w:rPr>
        <w:t>.</w:t>
      </w:r>
    </w:p>
    <w:p w14:paraId="4FA91DC7" w14:textId="14042CC1" w:rsidR="006A3185" w:rsidRPr="006A3185" w:rsidRDefault="006A3185" w:rsidP="006A3185">
      <w:pPr>
        <w:rPr>
          <w:rFonts w:ascii="Arial" w:hAnsi="Arial" w:cs="Arial"/>
          <w:b/>
          <w:bCs/>
          <w:sz w:val="24"/>
          <w:szCs w:val="24"/>
          <w:u w:val="single"/>
        </w:rPr>
      </w:pPr>
      <w:r w:rsidRPr="006A3185">
        <w:rPr>
          <w:rFonts w:ascii="Arial" w:hAnsi="Arial" w:cs="Arial"/>
          <w:b/>
          <w:bCs/>
          <w:i/>
          <w:iCs/>
          <w:sz w:val="24"/>
          <w:szCs w:val="24"/>
          <w:u w:val="single"/>
        </w:rPr>
        <w:t>Children’s Aid Society of the Regional Municipality of Waterloo v. P.W. and M.T.</w:t>
      </w:r>
      <w:r w:rsidRPr="006A3185">
        <w:rPr>
          <w:rFonts w:ascii="Arial" w:hAnsi="Arial" w:cs="Arial"/>
          <w:b/>
          <w:bCs/>
          <w:sz w:val="24"/>
          <w:szCs w:val="24"/>
          <w:u w:val="single"/>
        </w:rPr>
        <w:t xml:space="preserve"> 2022 ONSC 4340 </w:t>
      </w:r>
    </w:p>
    <w:p w14:paraId="378982CC" w14:textId="68C1CFB2" w:rsidR="00350E51" w:rsidRDefault="00671969" w:rsidP="003070AE">
      <w:pPr>
        <w:rPr>
          <w:rFonts w:ascii="Arial" w:hAnsi="Arial" w:cs="Arial"/>
          <w:sz w:val="24"/>
          <w:szCs w:val="24"/>
        </w:rPr>
      </w:pPr>
      <w:r>
        <w:rPr>
          <w:rFonts w:ascii="Arial" w:hAnsi="Arial" w:cs="Arial"/>
          <w:sz w:val="24"/>
          <w:szCs w:val="24"/>
        </w:rPr>
        <w:t xml:space="preserve">In the recent decision of </w:t>
      </w:r>
      <w:r w:rsidRPr="006A3185">
        <w:rPr>
          <w:rFonts w:ascii="Arial" w:hAnsi="Arial" w:cs="Arial"/>
          <w:i/>
          <w:iCs/>
          <w:sz w:val="24"/>
          <w:szCs w:val="24"/>
        </w:rPr>
        <w:t xml:space="preserve">Children’s Aid Society of the Regional Municipality of Waterloo v. P.W. and </w:t>
      </w:r>
      <w:r w:rsidR="006A3185" w:rsidRPr="006A3185">
        <w:rPr>
          <w:rFonts w:ascii="Arial" w:hAnsi="Arial" w:cs="Arial"/>
          <w:i/>
          <w:iCs/>
          <w:sz w:val="24"/>
          <w:szCs w:val="24"/>
        </w:rPr>
        <w:t>M.T.</w:t>
      </w:r>
      <w:r w:rsidR="006A3185">
        <w:rPr>
          <w:rFonts w:ascii="Arial" w:hAnsi="Arial" w:cs="Arial"/>
          <w:sz w:val="24"/>
          <w:szCs w:val="24"/>
        </w:rPr>
        <w:t xml:space="preserve">, the mother had a serious and untreated mental health condition and there was </w:t>
      </w:r>
      <w:r w:rsidR="003D0C40">
        <w:rPr>
          <w:rFonts w:ascii="Arial" w:hAnsi="Arial" w:cs="Arial"/>
          <w:sz w:val="24"/>
          <w:szCs w:val="24"/>
        </w:rPr>
        <w:t>extensive</w:t>
      </w:r>
      <w:r w:rsidR="006A3185">
        <w:rPr>
          <w:rFonts w:ascii="Arial" w:hAnsi="Arial" w:cs="Arial"/>
          <w:sz w:val="24"/>
          <w:szCs w:val="24"/>
        </w:rPr>
        <w:t xml:space="preserve"> evidence before the court related to the impact of this condition on her parenting behaviours. </w:t>
      </w:r>
      <w:r w:rsidR="003D0C40">
        <w:rPr>
          <w:rFonts w:ascii="Arial" w:hAnsi="Arial" w:cs="Arial"/>
          <w:sz w:val="24"/>
          <w:szCs w:val="24"/>
        </w:rPr>
        <w:t xml:space="preserve">The Society had obtained a s. 98 assessment order for a parenting capacity assessment and Dr. Jean Wittenberg was the appointed assessor. </w:t>
      </w:r>
      <w:r w:rsidR="00165319">
        <w:rPr>
          <w:rFonts w:ascii="Arial" w:hAnsi="Arial" w:cs="Arial"/>
          <w:sz w:val="24"/>
          <w:szCs w:val="24"/>
        </w:rPr>
        <w:t xml:space="preserve">The Society was seeking a six-month interim care order. </w:t>
      </w:r>
      <w:r w:rsidR="002F3D21">
        <w:rPr>
          <w:rFonts w:ascii="Arial" w:hAnsi="Arial" w:cs="Arial"/>
          <w:sz w:val="24"/>
          <w:szCs w:val="24"/>
        </w:rPr>
        <w:t>Dr. Wittenberg gave the opinion that “the mother does not have the capacity to raise the child safely and securely”.</w:t>
      </w:r>
      <w:r w:rsidR="002F3D21">
        <w:rPr>
          <w:rStyle w:val="FootnoteReference"/>
          <w:rFonts w:ascii="Arial" w:hAnsi="Arial" w:cs="Arial"/>
          <w:sz w:val="24"/>
          <w:szCs w:val="24"/>
        </w:rPr>
        <w:footnoteReference w:id="76"/>
      </w:r>
    </w:p>
    <w:p w14:paraId="7D724D9E" w14:textId="71E2E0C1" w:rsidR="00574DB3" w:rsidRDefault="00350E51" w:rsidP="003070AE">
      <w:pPr>
        <w:rPr>
          <w:rFonts w:ascii="Arial" w:hAnsi="Arial" w:cs="Arial"/>
          <w:sz w:val="24"/>
          <w:szCs w:val="24"/>
        </w:rPr>
      </w:pPr>
      <w:r>
        <w:rPr>
          <w:rFonts w:ascii="Arial" w:hAnsi="Arial" w:cs="Arial"/>
          <w:sz w:val="24"/>
          <w:szCs w:val="24"/>
        </w:rPr>
        <w:t xml:space="preserve">Dr. Wittenberg was qualified by the court as an expert in parenting capacity assessments and child psychiatry.  However, the </w:t>
      </w:r>
      <w:r w:rsidR="00362B31">
        <w:rPr>
          <w:rFonts w:ascii="Arial" w:hAnsi="Arial" w:cs="Arial"/>
          <w:sz w:val="24"/>
          <w:szCs w:val="24"/>
        </w:rPr>
        <w:t xml:space="preserve">court placed little weight on </w:t>
      </w:r>
      <w:r w:rsidR="002F3D21">
        <w:rPr>
          <w:rFonts w:ascii="Arial" w:hAnsi="Arial" w:cs="Arial"/>
          <w:sz w:val="24"/>
          <w:szCs w:val="24"/>
        </w:rPr>
        <w:t>his</w:t>
      </w:r>
      <w:r w:rsidR="00362B31">
        <w:rPr>
          <w:rFonts w:ascii="Arial" w:hAnsi="Arial" w:cs="Arial"/>
          <w:sz w:val="24"/>
          <w:szCs w:val="24"/>
        </w:rPr>
        <w:t xml:space="preserve"> assessment report for the following reasons: (a) he met with the mother only once; (b) he reviewed materials provided by the Society but not by the mother; (c) he did not speak to collaterals, explaining that he felt that he had the information he needed.</w:t>
      </w:r>
      <w:r w:rsidR="00362B31">
        <w:rPr>
          <w:rStyle w:val="FootnoteReference"/>
          <w:rFonts w:ascii="Arial" w:hAnsi="Arial" w:cs="Arial"/>
          <w:sz w:val="24"/>
          <w:szCs w:val="24"/>
        </w:rPr>
        <w:footnoteReference w:id="77"/>
      </w:r>
      <w:r w:rsidR="002F3D21">
        <w:rPr>
          <w:rFonts w:ascii="Arial" w:hAnsi="Arial" w:cs="Arial"/>
          <w:sz w:val="24"/>
          <w:szCs w:val="24"/>
        </w:rPr>
        <w:t xml:space="preserve"> </w:t>
      </w:r>
    </w:p>
    <w:p w14:paraId="69F3C3A4" w14:textId="4391155E" w:rsidR="002F3D21" w:rsidRPr="006A3185" w:rsidRDefault="00165319" w:rsidP="003070AE">
      <w:pPr>
        <w:rPr>
          <w:rFonts w:ascii="Arial" w:hAnsi="Arial" w:cs="Arial"/>
          <w:sz w:val="24"/>
          <w:szCs w:val="24"/>
        </w:rPr>
      </w:pPr>
      <w:r>
        <w:rPr>
          <w:rFonts w:ascii="Arial" w:hAnsi="Arial" w:cs="Arial"/>
          <w:sz w:val="24"/>
          <w:szCs w:val="24"/>
        </w:rPr>
        <w:t>Although the court did not place much weight on Dr. Wittenberg’s assessment report, the court concluded on all of the evidence that the child could not safely return home to the mother and a six month interim care order was made.</w:t>
      </w:r>
    </w:p>
    <w:p w14:paraId="71423796" w14:textId="7D5E4260" w:rsidR="000D3BA0" w:rsidRPr="000D3BA0" w:rsidRDefault="000D3BA0" w:rsidP="003070AE">
      <w:pPr>
        <w:rPr>
          <w:rFonts w:ascii="Arial" w:hAnsi="Arial" w:cs="Arial"/>
          <w:b/>
          <w:bCs/>
          <w:sz w:val="24"/>
          <w:szCs w:val="24"/>
          <w:u w:val="single"/>
        </w:rPr>
      </w:pPr>
      <w:r w:rsidRPr="000D3BA0">
        <w:rPr>
          <w:rFonts w:ascii="Arial" w:hAnsi="Arial" w:cs="Arial"/>
          <w:b/>
          <w:bCs/>
          <w:i/>
          <w:iCs/>
          <w:sz w:val="24"/>
          <w:szCs w:val="24"/>
          <w:u w:val="single"/>
        </w:rPr>
        <w:t>Halton Children’s Aid Society v. J.B. and D.T.</w:t>
      </w:r>
      <w:r w:rsidRPr="000D3BA0">
        <w:rPr>
          <w:rFonts w:ascii="Arial" w:hAnsi="Arial" w:cs="Arial"/>
          <w:b/>
          <w:bCs/>
          <w:sz w:val="24"/>
          <w:szCs w:val="24"/>
          <w:u w:val="single"/>
        </w:rPr>
        <w:t xml:space="preserve"> 2018 ONCJ 884</w:t>
      </w:r>
    </w:p>
    <w:p w14:paraId="425854BB" w14:textId="2739AED6" w:rsidR="007861AA" w:rsidRDefault="001D4A8B" w:rsidP="003070AE">
      <w:pPr>
        <w:rPr>
          <w:rFonts w:ascii="Arial" w:hAnsi="Arial" w:cs="Arial"/>
          <w:sz w:val="24"/>
          <w:szCs w:val="24"/>
        </w:rPr>
      </w:pPr>
      <w:r>
        <w:rPr>
          <w:rFonts w:ascii="Arial" w:hAnsi="Arial" w:cs="Arial"/>
          <w:sz w:val="24"/>
          <w:szCs w:val="24"/>
        </w:rPr>
        <w:t>I</w:t>
      </w:r>
      <w:r w:rsidR="00322EF4">
        <w:rPr>
          <w:rFonts w:ascii="Arial" w:hAnsi="Arial" w:cs="Arial"/>
          <w:sz w:val="24"/>
          <w:szCs w:val="24"/>
        </w:rPr>
        <w:t xml:space="preserve">n one well known decision </w:t>
      </w:r>
      <w:r w:rsidR="000177AC">
        <w:rPr>
          <w:rFonts w:ascii="Arial" w:hAnsi="Arial" w:cs="Arial"/>
          <w:sz w:val="24"/>
          <w:szCs w:val="24"/>
        </w:rPr>
        <w:t xml:space="preserve">reported </w:t>
      </w:r>
      <w:r w:rsidR="00DC391F">
        <w:rPr>
          <w:rFonts w:ascii="Arial" w:hAnsi="Arial" w:cs="Arial"/>
          <w:sz w:val="24"/>
          <w:szCs w:val="24"/>
        </w:rPr>
        <w:t>in the media</w:t>
      </w:r>
      <w:r w:rsidR="00240FD1">
        <w:rPr>
          <w:rFonts w:ascii="Arial" w:hAnsi="Arial" w:cs="Arial"/>
          <w:sz w:val="24"/>
          <w:szCs w:val="24"/>
        </w:rPr>
        <w:t xml:space="preserve">, Justice Penny Jones </w:t>
      </w:r>
      <w:r w:rsidR="005F56CB">
        <w:rPr>
          <w:rFonts w:ascii="Arial" w:hAnsi="Arial" w:cs="Arial"/>
          <w:sz w:val="24"/>
          <w:szCs w:val="24"/>
        </w:rPr>
        <w:t xml:space="preserve">excluded the </w:t>
      </w:r>
      <w:r w:rsidR="005C477C">
        <w:rPr>
          <w:rFonts w:ascii="Arial" w:hAnsi="Arial" w:cs="Arial"/>
          <w:sz w:val="24"/>
          <w:szCs w:val="24"/>
        </w:rPr>
        <w:t xml:space="preserve">parenting capacity </w:t>
      </w:r>
      <w:r w:rsidR="005F56CB">
        <w:rPr>
          <w:rFonts w:ascii="Arial" w:hAnsi="Arial" w:cs="Arial"/>
          <w:sz w:val="24"/>
          <w:szCs w:val="24"/>
        </w:rPr>
        <w:t xml:space="preserve">report of </w:t>
      </w:r>
      <w:r w:rsidR="007F40F8">
        <w:rPr>
          <w:rFonts w:ascii="Arial" w:hAnsi="Arial" w:cs="Arial"/>
          <w:sz w:val="24"/>
          <w:szCs w:val="24"/>
        </w:rPr>
        <w:t>a psychologist, Dr. Walton-Allen</w:t>
      </w:r>
      <w:r w:rsidR="005C477C">
        <w:rPr>
          <w:rFonts w:ascii="Arial" w:hAnsi="Arial" w:cs="Arial"/>
          <w:sz w:val="24"/>
          <w:szCs w:val="24"/>
        </w:rPr>
        <w:t xml:space="preserve">, </w:t>
      </w:r>
      <w:r w:rsidR="005C38C0">
        <w:rPr>
          <w:rFonts w:ascii="Arial" w:hAnsi="Arial" w:cs="Arial"/>
          <w:sz w:val="24"/>
          <w:szCs w:val="24"/>
        </w:rPr>
        <w:t xml:space="preserve">who was </w:t>
      </w:r>
      <w:r w:rsidR="002C3713">
        <w:rPr>
          <w:rFonts w:ascii="Arial" w:hAnsi="Arial" w:cs="Arial"/>
          <w:sz w:val="24"/>
          <w:szCs w:val="24"/>
        </w:rPr>
        <w:t xml:space="preserve">found to have </w:t>
      </w:r>
      <w:r w:rsidR="00084D93">
        <w:rPr>
          <w:rFonts w:ascii="Arial" w:hAnsi="Arial" w:cs="Arial"/>
          <w:sz w:val="24"/>
          <w:szCs w:val="24"/>
        </w:rPr>
        <w:t xml:space="preserve">intentionally misled the court and the parties by </w:t>
      </w:r>
      <w:r w:rsidR="00C87F84">
        <w:rPr>
          <w:rFonts w:ascii="Arial" w:hAnsi="Arial" w:cs="Arial"/>
          <w:sz w:val="24"/>
          <w:szCs w:val="24"/>
        </w:rPr>
        <w:t xml:space="preserve">referring to herself in her Curriculum-Vitae </w:t>
      </w:r>
      <w:r w:rsidR="00954E34">
        <w:rPr>
          <w:rFonts w:ascii="Arial" w:hAnsi="Arial" w:cs="Arial"/>
          <w:sz w:val="24"/>
          <w:szCs w:val="24"/>
        </w:rPr>
        <w:t xml:space="preserve">and in a letter written </w:t>
      </w:r>
      <w:r w:rsidR="00F12CB0">
        <w:rPr>
          <w:rFonts w:ascii="Arial" w:hAnsi="Arial" w:cs="Arial"/>
          <w:sz w:val="24"/>
          <w:szCs w:val="24"/>
        </w:rPr>
        <w:t>to a collateral</w:t>
      </w:r>
      <w:r w:rsidR="00700522">
        <w:rPr>
          <w:rFonts w:ascii="Arial" w:hAnsi="Arial" w:cs="Arial"/>
          <w:sz w:val="24"/>
          <w:szCs w:val="24"/>
        </w:rPr>
        <w:t xml:space="preserve"> professional as a “clinical psychologist” when she </w:t>
      </w:r>
      <w:r w:rsidR="00B11FEA">
        <w:rPr>
          <w:rFonts w:ascii="Arial" w:hAnsi="Arial" w:cs="Arial"/>
          <w:sz w:val="24"/>
          <w:szCs w:val="24"/>
        </w:rPr>
        <w:t>was actually</w:t>
      </w:r>
      <w:r w:rsidR="006821C3">
        <w:rPr>
          <w:rFonts w:ascii="Arial" w:hAnsi="Arial" w:cs="Arial"/>
          <w:sz w:val="24"/>
          <w:szCs w:val="24"/>
        </w:rPr>
        <w:t xml:space="preserve"> trained </w:t>
      </w:r>
      <w:r w:rsidR="009F40DC">
        <w:rPr>
          <w:rFonts w:ascii="Arial" w:hAnsi="Arial" w:cs="Arial"/>
          <w:sz w:val="24"/>
          <w:szCs w:val="24"/>
        </w:rPr>
        <w:t xml:space="preserve">and described by </w:t>
      </w:r>
      <w:r w:rsidR="00387340">
        <w:rPr>
          <w:rFonts w:ascii="Arial" w:hAnsi="Arial" w:cs="Arial"/>
          <w:sz w:val="24"/>
          <w:szCs w:val="24"/>
        </w:rPr>
        <w:t>the registrar of her</w:t>
      </w:r>
      <w:r w:rsidR="009F40DC">
        <w:rPr>
          <w:rFonts w:ascii="Arial" w:hAnsi="Arial" w:cs="Arial"/>
          <w:sz w:val="24"/>
          <w:szCs w:val="24"/>
        </w:rPr>
        <w:t xml:space="preserve"> regulatory body, the Ontario College of Psycholog</w:t>
      </w:r>
      <w:r w:rsidR="00E43280">
        <w:rPr>
          <w:rFonts w:ascii="Arial" w:hAnsi="Arial" w:cs="Arial"/>
          <w:sz w:val="24"/>
          <w:szCs w:val="24"/>
        </w:rPr>
        <w:t>ists</w:t>
      </w:r>
      <w:r w:rsidR="00BA5245">
        <w:rPr>
          <w:rFonts w:ascii="Arial" w:hAnsi="Arial" w:cs="Arial"/>
          <w:sz w:val="24"/>
          <w:szCs w:val="24"/>
        </w:rPr>
        <w:t>,</w:t>
      </w:r>
      <w:r w:rsidR="00E43280">
        <w:rPr>
          <w:rFonts w:ascii="Arial" w:hAnsi="Arial" w:cs="Arial"/>
          <w:sz w:val="24"/>
          <w:szCs w:val="24"/>
        </w:rPr>
        <w:t xml:space="preserve"> </w:t>
      </w:r>
      <w:r w:rsidR="006821C3">
        <w:rPr>
          <w:rFonts w:ascii="Arial" w:hAnsi="Arial" w:cs="Arial"/>
          <w:sz w:val="24"/>
          <w:szCs w:val="24"/>
        </w:rPr>
        <w:t>as a “school psychologist”</w:t>
      </w:r>
      <w:r w:rsidR="00E43280">
        <w:rPr>
          <w:rFonts w:ascii="Arial" w:hAnsi="Arial" w:cs="Arial"/>
          <w:sz w:val="24"/>
          <w:szCs w:val="24"/>
        </w:rPr>
        <w:t>.</w:t>
      </w:r>
      <w:r w:rsidR="00375B7B">
        <w:rPr>
          <w:rStyle w:val="FootnoteReference"/>
          <w:rFonts w:ascii="Arial" w:hAnsi="Arial" w:cs="Arial"/>
          <w:sz w:val="24"/>
          <w:szCs w:val="24"/>
        </w:rPr>
        <w:footnoteReference w:id="78"/>
      </w:r>
      <w:r w:rsidR="0094275D">
        <w:rPr>
          <w:rFonts w:ascii="Arial" w:hAnsi="Arial" w:cs="Arial"/>
          <w:sz w:val="24"/>
          <w:szCs w:val="24"/>
        </w:rPr>
        <w:t xml:space="preserve">  </w:t>
      </w:r>
      <w:r w:rsidR="00C44C26">
        <w:rPr>
          <w:rFonts w:ascii="Arial" w:hAnsi="Arial" w:cs="Arial"/>
          <w:sz w:val="24"/>
          <w:szCs w:val="24"/>
        </w:rPr>
        <w:t xml:space="preserve">Justice Jones reviewed </w:t>
      </w:r>
      <w:r w:rsidR="00722016">
        <w:rPr>
          <w:rFonts w:ascii="Arial" w:hAnsi="Arial" w:cs="Arial"/>
          <w:sz w:val="24"/>
          <w:szCs w:val="24"/>
        </w:rPr>
        <w:t xml:space="preserve">the differences between </w:t>
      </w:r>
      <w:r w:rsidR="008C50C0">
        <w:rPr>
          <w:rFonts w:ascii="Arial" w:hAnsi="Arial" w:cs="Arial"/>
          <w:sz w:val="24"/>
          <w:szCs w:val="24"/>
        </w:rPr>
        <w:t>a school psychologist and a clinical psychologist with reference to the College of Psychologists of Ontario website</w:t>
      </w:r>
      <w:r w:rsidR="00E021C4">
        <w:rPr>
          <w:rFonts w:ascii="Arial" w:hAnsi="Arial" w:cs="Arial"/>
          <w:sz w:val="24"/>
          <w:szCs w:val="24"/>
        </w:rPr>
        <w:t>.</w:t>
      </w:r>
      <w:r w:rsidR="00344F62">
        <w:rPr>
          <w:rStyle w:val="FootnoteReference"/>
          <w:rFonts w:ascii="Arial" w:hAnsi="Arial" w:cs="Arial"/>
          <w:sz w:val="24"/>
          <w:szCs w:val="24"/>
        </w:rPr>
        <w:footnoteReference w:id="79"/>
      </w:r>
    </w:p>
    <w:p w14:paraId="79C7EB5E" w14:textId="14311A13" w:rsidR="007861AA" w:rsidRDefault="00485728" w:rsidP="003070AE">
      <w:pPr>
        <w:rPr>
          <w:rFonts w:ascii="Arial" w:hAnsi="Arial" w:cs="Arial"/>
          <w:sz w:val="24"/>
          <w:szCs w:val="24"/>
        </w:rPr>
      </w:pPr>
      <w:r>
        <w:rPr>
          <w:rFonts w:ascii="Arial" w:hAnsi="Arial" w:cs="Arial"/>
          <w:sz w:val="24"/>
          <w:szCs w:val="24"/>
        </w:rPr>
        <w:lastRenderedPageBreak/>
        <w:t xml:space="preserve">After hearing </w:t>
      </w:r>
      <w:r w:rsidR="005C4DC1">
        <w:rPr>
          <w:rFonts w:ascii="Arial" w:hAnsi="Arial" w:cs="Arial"/>
          <w:sz w:val="24"/>
          <w:szCs w:val="24"/>
        </w:rPr>
        <w:t xml:space="preserve">testimony </w:t>
      </w:r>
      <w:r>
        <w:rPr>
          <w:rFonts w:ascii="Arial" w:hAnsi="Arial" w:cs="Arial"/>
          <w:sz w:val="24"/>
          <w:szCs w:val="24"/>
        </w:rPr>
        <w:t>from the Registrar of the College of psychologists</w:t>
      </w:r>
      <w:r w:rsidR="00AF513E">
        <w:rPr>
          <w:rFonts w:ascii="Arial" w:hAnsi="Arial" w:cs="Arial"/>
          <w:sz w:val="24"/>
          <w:szCs w:val="24"/>
        </w:rPr>
        <w:t xml:space="preserve"> that there is no rule prescribed by the College concerning who can do a parenting capacity assessment, Justice Jones commented as follows in her decision:</w:t>
      </w:r>
      <w:r w:rsidR="00AF513E">
        <w:rPr>
          <w:rStyle w:val="FootnoteReference"/>
          <w:rFonts w:ascii="Arial" w:hAnsi="Arial" w:cs="Arial"/>
          <w:sz w:val="24"/>
          <w:szCs w:val="24"/>
        </w:rPr>
        <w:footnoteReference w:id="80"/>
      </w:r>
    </w:p>
    <w:p w14:paraId="25001DAF" w14:textId="1ACBEAED" w:rsidR="000B0F93" w:rsidRDefault="00423F72" w:rsidP="000B0F93">
      <w:pPr>
        <w:ind w:left="720"/>
        <w:rPr>
          <w:rFonts w:ascii="Arial" w:hAnsi="Arial" w:cs="Arial"/>
          <w:sz w:val="24"/>
          <w:szCs w:val="24"/>
        </w:rPr>
      </w:pPr>
      <w:r>
        <w:rPr>
          <w:rFonts w:ascii="Arial" w:hAnsi="Arial" w:cs="Arial"/>
          <w:sz w:val="24"/>
          <w:szCs w:val="24"/>
        </w:rPr>
        <w:t xml:space="preserve">[33]   </w:t>
      </w:r>
      <w:r w:rsidR="000B0F93">
        <w:rPr>
          <w:rFonts w:ascii="Arial" w:hAnsi="Arial" w:cs="Arial"/>
          <w:sz w:val="24"/>
          <w:szCs w:val="24"/>
        </w:rPr>
        <w:t>Dr. Morris indicated that there is no rule that a clinical psychologist is the only type of psychologist who is qualified to complete such a report</w:t>
      </w:r>
      <w:r w:rsidR="00055A3C">
        <w:rPr>
          <w:rFonts w:ascii="Arial" w:hAnsi="Arial" w:cs="Arial"/>
          <w:sz w:val="24"/>
          <w:szCs w:val="24"/>
        </w:rPr>
        <w:t xml:space="preserve">.  I would urge the College of Psychologists of Ontario to review this policy </w:t>
      </w:r>
      <w:proofErr w:type="gramStart"/>
      <w:r w:rsidR="00055A3C">
        <w:rPr>
          <w:rFonts w:ascii="Arial" w:hAnsi="Arial" w:cs="Arial"/>
          <w:sz w:val="24"/>
          <w:szCs w:val="24"/>
        </w:rPr>
        <w:t>in light of</w:t>
      </w:r>
      <w:proofErr w:type="gramEnd"/>
      <w:r w:rsidR="00055A3C">
        <w:rPr>
          <w:rFonts w:ascii="Arial" w:hAnsi="Arial" w:cs="Arial"/>
          <w:sz w:val="24"/>
          <w:szCs w:val="24"/>
        </w:rPr>
        <w:t xml:space="preserve"> the recent miscarriages of justice that have resulted </w:t>
      </w:r>
      <w:r w:rsidR="00082BDB">
        <w:rPr>
          <w:rFonts w:ascii="Arial" w:hAnsi="Arial" w:cs="Arial"/>
          <w:sz w:val="24"/>
          <w:szCs w:val="24"/>
        </w:rPr>
        <w:t xml:space="preserve">from unqualified expert opinion evidence being accepted by the court.  The </w:t>
      </w:r>
      <w:r w:rsidR="004B1664">
        <w:rPr>
          <w:rFonts w:ascii="Arial" w:hAnsi="Arial" w:cs="Arial"/>
          <w:sz w:val="24"/>
          <w:szCs w:val="24"/>
        </w:rPr>
        <w:t xml:space="preserve">College of Psychologists of Ontario is a self-regulating body and </w:t>
      </w:r>
      <w:proofErr w:type="gramStart"/>
      <w:r w:rsidR="004B1664">
        <w:rPr>
          <w:rFonts w:ascii="Arial" w:hAnsi="Arial" w:cs="Arial"/>
          <w:sz w:val="24"/>
          <w:szCs w:val="24"/>
        </w:rPr>
        <w:t>has the ability to</w:t>
      </w:r>
      <w:proofErr w:type="gramEnd"/>
      <w:r w:rsidR="004B1664">
        <w:rPr>
          <w:rFonts w:ascii="Arial" w:hAnsi="Arial" w:cs="Arial"/>
          <w:sz w:val="24"/>
          <w:szCs w:val="24"/>
        </w:rPr>
        <w:t xml:space="preserve"> prescribe the qualifications and experience a member would have to possess before performing</w:t>
      </w:r>
      <w:r w:rsidR="00F21581">
        <w:rPr>
          <w:rFonts w:ascii="Arial" w:hAnsi="Arial" w:cs="Arial"/>
          <w:sz w:val="24"/>
          <w:szCs w:val="24"/>
        </w:rPr>
        <w:t xml:space="preserve"> a parenting capacity assessment.  Parenting capacity assessments are only being ordered by the court where the court requires reliable, expert opinion on complex</w:t>
      </w:r>
      <w:r w:rsidR="00D84978">
        <w:rPr>
          <w:rFonts w:ascii="Arial" w:hAnsi="Arial" w:cs="Arial"/>
          <w:sz w:val="24"/>
          <w:szCs w:val="24"/>
        </w:rPr>
        <w:t xml:space="preserve"> psychological and social issues and where the stakes are very high – often the very continuation of the family unit is at issue.  </w:t>
      </w:r>
      <w:r w:rsidR="00522EE7">
        <w:rPr>
          <w:rFonts w:ascii="Arial" w:hAnsi="Arial" w:cs="Arial"/>
          <w:sz w:val="24"/>
          <w:szCs w:val="24"/>
        </w:rPr>
        <w:t>It is clear from the statute</w:t>
      </w:r>
      <w:r w:rsidR="004B7A0D">
        <w:rPr>
          <w:rFonts w:ascii="Arial" w:hAnsi="Arial" w:cs="Arial"/>
          <w:sz w:val="24"/>
          <w:szCs w:val="24"/>
        </w:rPr>
        <w:t xml:space="preserve"> </w:t>
      </w:r>
      <w:r w:rsidR="00B4466E">
        <w:rPr>
          <w:rFonts w:ascii="Arial" w:hAnsi="Arial" w:cs="Arial"/>
          <w:sz w:val="24"/>
          <w:szCs w:val="24"/>
        </w:rPr>
        <w:t xml:space="preserve">that these reports are to be ordered only when the information is necessary for a court to </w:t>
      </w:r>
      <w:proofErr w:type="gramStart"/>
      <w:r w:rsidR="00B4466E">
        <w:rPr>
          <w:rFonts w:ascii="Arial" w:hAnsi="Arial" w:cs="Arial"/>
          <w:sz w:val="24"/>
          <w:szCs w:val="24"/>
        </w:rPr>
        <w:t>make a determination</w:t>
      </w:r>
      <w:proofErr w:type="gramEnd"/>
      <w:r w:rsidR="008A5E02">
        <w:rPr>
          <w:rFonts w:ascii="Arial" w:hAnsi="Arial" w:cs="Arial"/>
          <w:sz w:val="24"/>
          <w:szCs w:val="24"/>
        </w:rPr>
        <w:t xml:space="preserve"> on an issue and that that information is not otherwise available</w:t>
      </w:r>
      <w:r w:rsidR="008225AF">
        <w:rPr>
          <w:rFonts w:ascii="Arial" w:hAnsi="Arial" w:cs="Arial"/>
          <w:sz w:val="24"/>
          <w:szCs w:val="24"/>
        </w:rPr>
        <w:t xml:space="preserve">.  Parenting capacity assessments are not ordered because the information would be merely “helpful”.  Sometimes these reports </w:t>
      </w:r>
      <w:proofErr w:type="gramStart"/>
      <w:r w:rsidR="008225AF">
        <w:rPr>
          <w:rFonts w:ascii="Arial" w:hAnsi="Arial" w:cs="Arial"/>
          <w:sz w:val="24"/>
          <w:szCs w:val="24"/>
        </w:rPr>
        <w:t>actually decide</w:t>
      </w:r>
      <w:proofErr w:type="gramEnd"/>
      <w:r w:rsidR="008225AF">
        <w:rPr>
          <w:rFonts w:ascii="Arial" w:hAnsi="Arial" w:cs="Arial"/>
          <w:sz w:val="24"/>
          <w:szCs w:val="24"/>
        </w:rPr>
        <w:t xml:space="preserve"> the issue</w:t>
      </w:r>
      <w:r w:rsidR="007259F6">
        <w:rPr>
          <w:rFonts w:ascii="Arial" w:hAnsi="Arial" w:cs="Arial"/>
          <w:sz w:val="24"/>
          <w:szCs w:val="24"/>
        </w:rPr>
        <w:t>, particularly when the case is resolved prior to trial and the report</w:t>
      </w:r>
      <w:r w:rsidR="00540EDE">
        <w:rPr>
          <w:rFonts w:ascii="Arial" w:hAnsi="Arial" w:cs="Arial"/>
          <w:sz w:val="24"/>
          <w:szCs w:val="24"/>
        </w:rPr>
        <w:t xml:space="preserve"> is used in settlement negotiations.  At trial, these reports can be very persuasive.  </w:t>
      </w:r>
      <w:r w:rsidR="00E65D4D">
        <w:rPr>
          <w:rFonts w:ascii="Arial" w:hAnsi="Arial" w:cs="Arial"/>
          <w:sz w:val="24"/>
          <w:szCs w:val="24"/>
        </w:rPr>
        <w:t>It would be difficult to over-state both the importance of these reports to the court, to the Society, and to the vulnerable population who are often being served</w:t>
      </w:r>
      <w:r w:rsidR="00BE372B">
        <w:rPr>
          <w:rFonts w:ascii="Arial" w:hAnsi="Arial" w:cs="Arial"/>
          <w:sz w:val="24"/>
          <w:szCs w:val="24"/>
        </w:rPr>
        <w:t xml:space="preserve"> and the need to </w:t>
      </w:r>
      <w:r w:rsidR="000C114D">
        <w:rPr>
          <w:rFonts w:ascii="Arial" w:hAnsi="Arial" w:cs="Arial"/>
          <w:sz w:val="24"/>
          <w:szCs w:val="24"/>
        </w:rPr>
        <w:t xml:space="preserve">ensure that </w:t>
      </w:r>
      <w:r w:rsidR="00DB3621">
        <w:rPr>
          <w:rFonts w:ascii="Arial" w:hAnsi="Arial" w:cs="Arial"/>
          <w:sz w:val="24"/>
          <w:szCs w:val="24"/>
        </w:rPr>
        <w:t>these reports are only being prepared by qualified assessors.</w:t>
      </w:r>
    </w:p>
    <w:p w14:paraId="09D1B8C9" w14:textId="2E8A6407" w:rsidR="00351496" w:rsidRDefault="00AA4419" w:rsidP="00351496">
      <w:pPr>
        <w:rPr>
          <w:rFonts w:ascii="Arial" w:hAnsi="Arial" w:cs="Arial"/>
          <w:sz w:val="24"/>
          <w:szCs w:val="24"/>
        </w:rPr>
      </w:pPr>
      <w:r>
        <w:rPr>
          <w:rFonts w:ascii="Arial" w:hAnsi="Arial" w:cs="Arial"/>
          <w:sz w:val="24"/>
          <w:szCs w:val="24"/>
        </w:rPr>
        <w:t xml:space="preserve">Justice Jones </w:t>
      </w:r>
      <w:r w:rsidR="00FD42B8">
        <w:rPr>
          <w:rFonts w:ascii="Arial" w:hAnsi="Arial" w:cs="Arial"/>
          <w:sz w:val="24"/>
          <w:szCs w:val="24"/>
        </w:rPr>
        <w:t>found that Dr. Walton-Allen</w:t>
      </w:r>
      <w:r w:rsidR="00C30C4C">
        <w:rPr>
          <w:rFonts w:ascii="Arial" w:hAnsi="Arial" w:cs="Arial"/>
          <w:sz w:val="24"/>
          <w:szCs w:val="24"/>
        </w:rPr>
        <w:t>’s opinion evidence did not meet the test for threshold admissibility</w:t>
      </w:r>
      <w:r w:rsidR="006C2348">
        <w:rPr>
          <w:rFonts w:ascii="Arial" w:hAnsi="Arial" w:cs="Arial"/>
          <w:sz w:val="24"/>
          <w:szCs w:val="24"/>
        </w:rPr>
        <w:t xml:space="preserve">.  </w:t>
      </w:r>
      <w:r w:rsidR="00400304">
        <w:rPr>
          <w:rFonts w:ascii="Arial" w:hAnsi="Arial" w:cs="Arial"/>
          <w:sz w:val="24"/>
          <w:szCs w:val="24"/>
        </w:rPr>
        <w:t xml:space="preserve">The court struck Dr. Walton-Allen’s report from the record </w:t>
      </w:r>
      <w:r w:rsidR="006105C7">
        <w:rPr>
          <w:rFonts w:ascii="Arial" w:hAnsi="Arial" w:cs="Arial"/>
          <w:sz w:val="24"/>
          <w:szCs w:val="24"/>
        </w:rPr>
        <w:t>“on the basis that Dr. Walton-Allen intentionally misstated her qualifications to</w:t>
      </w:r>
      <w:r w:rsidR="001C60F4">
        <w:rPr>
          <w:rFonts w:ascii="Arial" w:hAnsi="Arial" w:cs="Arial"/>
          <w:sz w:val="24"/>
          <w:szCs w:val="24"/>
        </w:rPr>
        <w:t xml:space="preserve"> the case management judge,</w:t>
      </w:r>
      <w:r w:rsidR="006105C7">
        <w:rPr>
          <w:rFonts w:ascii="Arial" w:hAnsi="Arial" w:cs="Arial"/>
          <w:sz w:val="24"/>
          <w:szCs w:val="24"/>
        </w:rPr>
        <w:t xml:space="preserve"> Justice Starr</w:t>
      </w:r>
      <w:r w:rsidR="001C60F4">
        <w:rPr>
          <w:rFonts w:ascii="Arial" w:hAnsi="Arial" w:cs="Arial"/>
          <w:sz w:val="24"/>
          <w:szCs w:val="24"/>
        </w:rPr>
        <w:t>,</w:t>
      </w:r>
      <w:r w:rsidR="00B8100D">
        <w:rPr>
          <w:rFonts w:ascii="Arial" w:hAnsi="Arial" w:cs="Arial"/>
          <w:sz w:val="24"/>
          <w:szCs w:val="24"/>
        </w:rPr>
        <w:t xml:space="preserve"> when she was approved by the court as a person qualified to perform </w:t>
      </w:r>
      <w:r w:rsidR="00F82D3E">
        <w:rPr>
          <w:rFonts w:ascii="Arial" w:hAnsi="Arial" w:cs="Arial"/>
          <w:sz w:val="24"/>
          <w:szCs w:val="24"/>
        </w:rPr>
        <w:t>a</w:t>
      </w:r>
      <w:r w:rsidR="00B8100D">
        <w:rPr>
          <w:rFonts w:ascii="Arial" w:hAnsi="Arial" w:cs="Arial"/>
          <w:sz w:val="24"/>
          <w:szCs w:val="24"/>
        </w:rPr>
        <w:t xml:space="preserve"> ‘medical, emotional, developmental</w:t>
      </w:r>
      <w:r w:rsidR="00FF6FED">
        <w:rPr>
          <w:rFonts w:ascii="Arial" w:hAnsi="Arial" w:cs="Arial"/>
          <w:sz w:val="24"/>
          <w:szCs w:val="24"/>
        </w:rPr>
        <w:t xml:space="preserve">, psychological, </w:t>
      </w:r>
      <w:proofErr w:type="gramStart"/>
      <w:r w:rsidR="00FF6FED">
        <w:rPr>
          <w:rFonts w:ascii="Arial" w:hAnsi="Arial" w:cs="Arial"/>
          <w:sz w:val="24"/>
          <w:szCs w:val="24"/>
        </w:rPr>
        <w:t>educational</w:t>
      </w:r>
      <w:proofErr w:type="gramEnd"/>
      <w:r w:rsidR="00FF6FED">
        <w:rPr>
          <w:rFonts w:ascii="Arial" w:hAnsi="Arial" w:cs="Arial"/>
          <w:sz w:val="24"/>
          <w:szCs w:val="24"/>
        </w:rPr>
        <w:t xml:space="preserve"> or social assessment’.”</w:t>
      </w:r>
      <w:r w:rsidR="00CD085F">
        <w:rPr>
          <w:rStyle w:val="FootnoteReference"/>
          <w:rFonts w:ascii="Arial" w:hAnsi="Arial" w:cs="Arial"/>
          <w:sz w:val="24"/>
          <w:szCs w:val="24"/>
        </w:rPr>
        <w:footnoteReference w:id="81"/>
      </w:r>
      <w:r w:rsidR="00C84448">
        <w:rPr>
          <w:rFonts w:ascii="Arial" w:hAnsi="Arial" w:cs="Arial"/>
          <w:sz w:val="24"/>
          <w:szCs w:val="24"/>
        </w:rPr>
        <w:t xml:space="preserve">  </w:t>
      </w:r>
    </w:p>
    <w:p w14:paraId="51D9AC71" w14:textId="3CB750BA" w:rsidR="00372A97" w:rsidRDefault="00372A97" w:rsidP="00351496">
      <w:pPr>
        <w:rPr>
          <w:rFonts w:ascii="Arial" w:hAnsi="Arial" w:cs="Arial"/>
          <w:sz w:val="24"/>
          <w:szCs w:val="24"/>
        </w:rPr>
      </w:pPr>
      <w:r>
        <w:rPr>
          <w:rFonts w:ascii="Arial" w:hAnsi="Arial" w:cs="Arial"/>
          <w:sz w:val="24"/>
          <w:szCs w:val="24"/>
        </w:rPr>
        <w:t xml:space="preserve">Dr. Walton-Allen testified during the </w:t>
      </w:r>
      <w:proofErr w:type="spellStart"/>
      <w:r w:rsidR="009B035E">
        <w:rPr>
          <w:rFonts w:ascii="Arial" w:hAnsi="Arial" w:cs="Arial"/>
          <w:sz w:val="24"/>
          <w:szCs w:val="24"/>
        </w:rPr>
        <w:t>v</w:t>
      </w:r>
      <w:r w:rsidRPr="00372A97">
        <w:rPr>
          <w:rFonts w:ascii="Arial" w:hAnsi="Arial" w:cs="Arial"/>
          <w:i/>
          <w:iCs/>
          <w:sz w:val="24"/>
          <w:szCs w:val="24"/>
        </w:rPr>
        <w:t>oir</w:t>
      </w:r>
      <w:proofErr w:type="spellEnd"/>
      <w:r w:rsidRPr="00372A97">
        <w:rPr>
          <w:rFonts w:ascii="Arial" w:hAnsi="Arial" w:cs="Arial"/>
          <w:i/>
          <w:iCs/>
          <w:sz w:val="24"/>
          <w:szCs w:val="24"/>
        </w:rPr>
        <w:t xml:space="preserve"> </w:t>
      </w:r>
      <w:r w:rsidR="009B035E">
        <w:rPr>
          <w:rFonts w:ascii="Arial" w:hAnsi="Arial" w:cs="Arial"/>
          <w:i/>
          <w:iCs/>
          <w:sz w:val="24"/>
          <w:szCs w:val="24"/>
        </w:rPr>
        <w:t>d</w:t>
      </w:r>
      <w:r w:rsidRPr="00372A97">
        <w:rPr>
          <w:rFonts w:ascii="Arial" w:hAnsi="Arial" w:cs="Arial"/>
          <w:i/>
          <w:iCs/>
          <w:sz w:val="24"/>
          <w:szCs w:val="24"/>
        </w:rPr>
        <w:t>ire</w:t>
      </w:r>
      <w:r>
        <w:rPr>
          <w:rFonts w:ascii="Arial" w:hAnsi="Arial" w:cs="Arial"/>
          <w:sz w:val="24"/>
          <w:szCs w:val="24"/>
        </w:rPr>
        <w:t xml:space="preserve"> that she </w:t>
      </w:r>
      <w:r w:rsidR="00F56615">
        <w:rPr>
          <w:rFonts w:ascii="Arial" w:hAnsi="Arial" w:cs="Arial"/>
          <w:sz w:val="24"/>
          <w:szCs w:val="24"/>
        </w:rPr>
        <w:t xml:space="preserve">had been conducting parenting capacity assessments since 1992 and had completed over 100 such assessments.  She also </w:t>
      </w:r>
      <w:r w:rsidR="00AE3BC3">
        <w:rPr>
          <w:rFonts w:ascii="Arial" w:hAnsi="Arial" w:cs="Arial"/>
          <w:sz w:val="24"/>
          <w:szCs w:val="24"/>
        </w:rPr>
        <w:t xml:space="preserve">gave evidence </w:t>
      </w:r>
      <w:r w:rsidR="00F56615">
        <w:rPr>
          <w:rFonts w:ascii="Arial" w:hAnsi="Arial" w:cs="Arial"/>
          <w:sz w:val="24"/>
          <w:szCs w:val="24"/>
        </w:rPr>
        <w:t xml:space="preserve">that she had </w:t>
      </w:r>
      <w:r w:rsidR="00410F72">
        <w:rPr>
          <w:rFonts w:ascii="Arial" w:hAnsi="Arial" w:cs="Arial"/>
          <w:sz w:val="24"/>
          <w:szCs w:val="24"/>
        </w:rPr>
        <w:t xml:space="preserve">testified at court in relation to approximately 20 of those assessments and that she “had never </w:t>
      </w:r>
      <w:r w:rsidR="00410F72" w:rsidRPr="00410F72">
        <w:rPr>
          <w:rFonts w:ascii="Arial" w:hAnsi="Arial" w:cs="Arial"/>
          <w:b/>
          <w:bCs/>
          <w:sz w:val="24"/>
          <w:szCs w:val="24"/>
        </w:rPr>
        <w:t>not</w:t>
      </w:r>
      <w:r w:rsidR="00410F72">
        <w:rPr>
          <w:rFonts w:ascii="Arial" w:hAnsi="Arial" w:cs="Arial"/>
          <w:sz w:val="24"/>
          <w:szCs w:val="24"/>
        </w:rPr>
        <w:t xml:space="preserve"> been qualified as an expert.”</w:t>
      </w:r>
      <w:r w:rsidR="00410F72">
        <w:rPr>
          <w:rStyle w:val="FootnoteReference"/>
          <w:rFonts w:ascii="Arial" w:hAnsi="Arial" w:cs="Arial"/>
          <w:sz w:val="24"/>
          <w:szCs w:val="24"/>
        </w:rPr>
        <w:footnoteReference w:id="82"/>
      </w:r>
      <w:r w:rsidR="00641675">
        <w:rPr>
          <w:rFonts w:ascii="Arial" w:hAnsi="Arial" w:cs="Arial"/>
          <w:sz w:val="24"/>
          <w:szCs w:val="24"/>
        </w:rPr>
        <w:t xml:space="preserve">  Th</w:t>
      </w:r>
      <w:r w:rsidR="0016612A">
        <w:rPr>
          <w:rFonts w:ascii="Arial" w:hAnsi="Arial" w:cs="Arial"/>
          <w:sz w:val="24"/>
          <w:szCs w:val="24"/>
        </w:rPr>
        <w:t xml:space="preserve">ese facts raise some obvious concerns about </w:t>
      </w:r>
      <w:r w:rsidR="00253985">
        <w:rPr>
          <w:rFonts w:ascii="Arial" w:hAnsi="Arial" w:cs="Arial"/>
          <w:sz w:val="24"/>
          <w:szCs w:val="24"/>
        </w:rPr>
        <w:t xml:space="preserve">the impact of her unqualified opinion evidence </w:t>
      </w:r>
      <w:r w:rsidR="00253985">
        <w:rPr>
          <w:rFonts w:ascii="Arial" w:hAnsi="Arial" w:cs="Arial"/>
          <w:sz w:val="24"/>
          <w:szCs w:val="24"/>
        </w:rPr>
        <w:lastRenderedPageBreak/>
        <w:t xml:space="preserve">in previous cases.  </w:t>
      </w:r>
      <w:r w:rsidR="00D54F1B">
        <w:rPr>
          <w:rFonts w:ascii="Arial" w:hAnsi="Arial" w:cs="Arial"/>
          <w:sz w:val="24"/>
          <w:szCs w:val="24"/>
        </w:rPr>
        <w:t xml:space="preserve">These concerns </w:t>
      </w:r>
      <w:r w:rsidR="00BD47F1">
        <w:rPr>
          <w:rFonts w:ascii="Arial" w:hAnsi="Arial" w:cs="Arial"/>
          <w:sz w:val="24"/>
          <w:szCs w:val="24"/>
        </w:rPr>
        <w:t>became</w:t>
      </w:r>
      <w:r w:rsidR="00FE478F">
        <w:rPr>
          <w:rFonts w:ascii="Arial" w:hAnsi="Arial" w:cs="Arial"/>
          <w:sz w:val="24"/>
          <w:szCs w:val="24"/>
        </w:rPr>
        <w:t xml:space="preserve"> the subject of a Toronto Star seri</w:t>
      </w:r>
      <w:r w:rsidR="006D0146">
        <w:rPr>
          <w:rFonts w:ascii="Arial" w:hAnsi="Arial" w:cs="Arial"/>
          <w:sz w:val="24"/>
          <w:szCs w:val="24"/>
        </w:rPr>
        <w:t>es</w:t>
      </w:r>
      <w:r w:rsidR="00FE478F">
        <w:rPr>
          <w:rFonts w:ascii="Arial" w:hAnsi="Arial" w:cs="Arial"/>
          <w:sz w:val="24"/>
          <w:szCs w:val="24"/>
        </w:rPr>
        <w:t xml:space="preserve"> on the </w:t>
      </w:r>
      <w:r w:rsidR="0092354B">
        <w:rPr>
          <w:rFonts w:ascii="Arial" w:hAnsi="Arial" w:cs="Arial"/>
          <w:sz w:val="24"/>
          <w:szCs w:val="24"/>
        </w:rPr>
        <w:t>regulation of parenting capacity assessors:</w:t>
      </w:r>
      <w:r w:rsidR="0092354B">
        <w:rPr>
          <w:rStyle w:val="FootnoteReference"/>
          <w:rFonts w:ascii="Arial" w:hAnsi="Arial" w:cs="Arial"/>
          <w:sz w:val="24"/>
          <w:szCs w:val="24"/>
        </w:rPr>
        <w:footnoteReference w:id="83"/>
      </w:r>
    </w:p>
    <w:p w14:paraId="495804B0" w14:textId="7A665F33" w:rsidR="00204B36" w:rsidRDefault="00204B36" w:rsidP="00351496">
      <w:pPr>
        <w:rPr>
          <w:rFonts w:ascii="Arial" w:hAnsi="Arial" w:cs="Arial"/>
          <w:sz w:val="24"/>
          <w:szCs w:val="24"/>
        </w:rPr>
      </w:pPr>
      <w:r>
        <w:rPr>
          <w:rFonts w:ascii="Arial" w:hAnsi="Arial" w:cs="Arial"/>
          <w:sz w:val="24"/>
          <w:szCs w:val="24"/>
        </w:rPr>
        <w:t>Th</w:t>
      </w:r>
      <w:r w:rsidR="002F7943">
        <w:rPr>
          <w:rFonts w:ascii="Arial" w:hAnsi="Arial" w:cs="Arial"/>
          <w:sz w:val="24"/>
          <w:szCs w:val="24"/>
        </w:rPr>
        <w:t xml:space="preserve">e </w:t>
      </w:r>
      <w:r w:rsidR="005B35C4">
        <w:rPr>
          <w:rFonts w:ascii="Arial" w:hAnsi="Arial" w:cs="Arial"/>
          <w:sz w:val="24"/>
          <w:szCs w:val="24"/>
        </w:rPr>
        <w:t xml:space="preserve">concerns related to this case </w:t>
      </w:r>
      <w:r w:rsidR="006E5704">
        <w:rPr>
          <w:rFonts w:ascii="Arial" w:hAnsi="Arial" w:cs="Arial"/>
          <w:sz w:val="24"/>
          <w:szCs w:val="24"/>
        </w:rPr>
        <w:t xml:space="preserve">also </w:t>
      </w:r>
      <w:r w:rsidR="005B35C4">
        <w:rPr>
          <w:rFonts w:ascii="Arial" w:hAnsi="Arial" w:cs="Arial"/>
          <w:sz w:val="24"/>
          <w:szCs w:val="24"/>
        </w:rPr>
        <w:t>prompted the Ministry of Children, Community and Social Services to issue a Policy Directive</w:t>
      </w:r>
      <w:r w:rsidR="00DE75F7">
        <w:rPr>
          <w:rFonts w:ascii="Arial" w:hAnsi="Arial" w:cs="Arial"/>
          <w:sz w:val="24"/>
          <w:szCs w:val="24"/>
        </w:rPr>
        <w:t xml:space="preserve"> </w:t>
      </w:r>
      <w:r w:rsidR="00F4734F">
        <w:rPr>
          <w:rFonts w:ascii="Arial" w:hAnsi="Arial" w:cs="Arial"/>
          <w:sz w:val="24"/>
          <w:szCs w:val="24"/>
        </w:rPr>
        <w:t xml:space="preserve">on August 22, </w:t>
      </w:r>
      <w:proofErr w:type="gramStart"/>
      <w:r w:rsidR="00F4734F">
        <w:rPr>
          <w:rFonts w:ascii="Arial" w:hAnsi="Arial" w:cs="Arial"/>
          <w:sz w:val="24"/>
          <w:szCs w:val="24"/>
        </w:rPr>
        <w:t>2019</w:t>
      </w:r>
      <w:proofErr w:type="gramEnd"/>
      <w:r w:rsidR="00F4734F">
        <w:rPr>
          <w:rFonts w:ascii="Arial" w:hAnsi="Arial" w:cs="Arial"/>
          <w:sz w:val="24"/>
          <w:szCs w:val="24"/>
        </w:rPr>
        <w:t xml:space="preserve"> </w:t>
      </w:r>
      <w:r w:rsidR="00612AE8">
        <w:rPr>
          <w:rFonts w:ascii="Arial" w:hAnsi="Arial" w:cs="Arial"/>
          <w:sz w:val="24"/>
          <w:szCs w:val="24"/>
        </w:rPr>
        <w:t xml:space="preserve">under section 42 of the </w:t>
      </w:r>
      <w:r w:rsidR="00612AE8" w:rsidRPr="00612AE8">
        <w:rPr>
          <w:rFonts w:ascii="Arial" w:hAnsi="Arial" w:cs="Arial"/>
          <w:i/>
          <w:iCs/>
          <w:sz w:val="24"/>
          <w:szCs w:val="24"/>
        </w:rPr>
        <w:t>Child, Youth and Family Services Act</w:t>
      </w:r>
      <w:r w:rsidR="00612AE8">
        <w:rPr>
          <w:rFonts w:ascii="Arial" w:hAnsi="Arial" w:cs="Arial"/>
          <w:sz w:val="24"/>
          <w:szCs w:val="24"/>
        </w:rPr>
        <w:t xml:space="preserve">, 2017 </w:t>
      </w:r>
      <w:r w:rsidR="00DE75F7">
        <w:rPr>
          <w:rFonts w:ascii="Arial" w:hAnsi="Arial" w:cs="Arial"/>
          <w:sz w:val="24"/>
          <w:szCs w:val="24"/>
        </w:rPr>
        <w:t>regarding parenting capacity assessments</w:t>
      </w:r>
      <w:r w:rsidR="00BD4F07">
        <w:rPr>
          <w:rFonts w:ascii="Arial" w:hAnsi="Arial" w:cs="Arial"/>
          <w:sz w:val="24"/>
          <w:szCs w:val="24"/>
        </w:rPr>
        <w:t>.  This directive</w:t>
      </w:r>
      <w:r w:rsidR="00DE75F7">
        <w:rPr>
          <w:rFonts w:ascii="Arial" w:hAnsi="Arial" w:cs="Arial"/>
          <w:sz w:val="24"/>
          <w:szCs w:val="24"/>
        </w:rPr>
        <w:t xml:space="preserve"> require</w:t>
      </w:r>
      <w:r w:rsidR="00BD4F07">
        <w:rPr>
          <w:rFonts w:ascii="Arial" w:hAnsi="Arial" w:cs="Arial"/>
          <w:sz w:val="24"/>
          <w:szCs w:val="24"/>
        </w:rPr>
        <w:t>s</w:t>
      </w:r>
      <w:r w:rsidR="00DE75F7">
        <w:rPr>
          <w:rFonts w:ascii="Arial" w:hAnsi="Arial" w:cs="Arial"/>
          <w:sz w:val="24"/>
          <w:szCs w:val="24"/>
        </w:rPr>
        <w:t xml:space="preserve"> </w:t>
      </w:r>
      <w:r w:rsidR="00E669D7">
        <w:rPr>
          <w:rFonts w:ascii="Arial" w:hAnsi="Arial" w:cs="Arial"/>
          <w:sz w:val="24"/>
          <w:szCs w:val="24"/>
        </w:rPr>
        <w:t>protection agencies</w:t>
      </w:r>
      <w:r w:rsidR="007F6EDD">
        <w:rPr>
          <w:rFonts w:ascii="Arial" w:hAnsi="Arial" w:cs="Arial"/>
          <w:sz w:val="24"/>
          <w:szCs w:val="24"/>
        </w:rPr>
        <w:t xml:space="preserve"> using these assessors to verify </w:t>
      </w:r>
      <w:r w:rsidR="00A56615">
        <w:rPr>
          <w:rFonts w:ascii="Arial" w:hAnsi="Arial" w:cs="Arial"/>
          <w:sz w:val="24"/>
          <w:szCs w:val="24"/>
        </w:rPr>
        <w:t>the</w:t>
      </w:r>
      <w:r w:rsidR="007F6EDD">
        <w:rPr>
          <w:rFonts w:ascii="Arial" w:hAnsi="Arial" w:cs="Arial"/>
          <w:sz w:val="24"/>
          <w:szCs w:val="24"/>
        </w:rPr>
        <w:t xml:space="preserve"> credentials </w:t>
      </w:r>
      <w:r w:rsidR="00A56615">
        <w:rPr>
          <w:rFonts w:ascii="Arial" w:hAnsi="Arial" w:cs="Arial"/>
          <w:sz w:val="24"/>
          <w:szCs w:val="24"/>
        </w:rPr>
        <w:t xml:space="preserve">of any proposed assessor </w:t>
      </w:r>
      <w:r w:rsidR="007F6EDD">
        <w:rPr>
          <w:rFonts w:ascii="Arial" w:hAnsi="Arial" w:cs="Arial"/>
          <w:sz w:val="24"/>
          <w:szCs w:val="24"/>
        </w:rPr>
        <w:t>with the assessor’s regulatory body</w:t>
      </w:r>
      <w:r w:rsidR="006D29E4">
        <w:rPr>
          <w:rFonts w:ascii="Arial" w:hAnsi="Arial" w:cs="Arial"/>
          <w:sz w:val="24"/>
          <w:szCs w:val="24"/>
        </w:rPr>
        <w:t xml:space="preserve"> and to </w:t>
      </w:r>
      <w:r w:rsidR="00D04696">
        <w:rPr>
          <w:rFonts w:ascii="Arial" w:hAnsi="Arial" w:cs="Arial"/>
          <w:sz w:val="24"/>
          <w:szCs w:val="24"/>
        </w:rPr>
        <w:t>file a complaint about any assessor who has misrepresented their credentials.</w:t>
      </w:r>
      <w:r w:rsidR="00655549">
        <w:rPr>
          <w:rStyle w:val="FootnoteReference"/>
          <w:rFonts w:ascii="Arial" w:hAnsi="Arial" w:cs="Arial"/>
          <w:sz w:val="24"/>
          <w:szCs w:val="24"/>
        </w:rPr>
        <w:footnoteReference w:id="84"/>
      </w:r>
      <w:r w:rsidR="004D0D64">
        <w:rPr>
          <w:rFonts w:ascii="Arial" w:hAnsi="Arial" w:cs="Arial"/>
          <w:sz w:val="24"/>
          <w:szCs w:val="24"/>
        </w:rPr>
        <w:t xml:space="preserve"> </w:t>
      </w:r>
    </w:p>
    <w:p w14:paraId="70529C19" w14:textId="77777777" w:rsidR="004D0D64" w:rsidRDefault="004D0D64" w:rsidP="004D0D64">
      <w:pPr>
        <w:pStyle w:val="doubleindent-quote"/>
        <w:spacing w:before="120" w:beforeAutospacing="0" w:after="240" w:afterAutospacing="0"/>
        <w:ind w:right="-23"/>
        <w:rPr>
          <w:rFonts w:ascii="Arial" w:hAnsi="Arial" w:cs="Arial"/>
          <w:b/>
          <w:bCs/>
          <w:color w:val="000000"/>
          <w:u w:val="single"/>
        </w:rPr>
      </w:pPr>
      <w:r w:rsidRPr="00554E16">
        <w:rPr>
          <w:rFonts w:ascii="Arial" w:hAnsi="Arial" w:cs="Arial"/>
          <w:b/>
          <w:bCs/>
          <w:i/>
          <w:iCs/>
          <w:color w:val="000000"/>
          <w:u w:val="single"/>
        </w:rPr>
        <w:t>Children’s Aid Society of Algoma and F.M.</w:t>
      </w:r>
      <w:r w:rsidRPr="00554E16">
        <w:rPr>
          <w:rFonts w:ascii="Arial" w:hAnsi="Arial" w:cs="Arial"/>
          <w:b/>
          <w:bCs/>
          <w:color w:val="000000"/>
          <w:u w:val="single"/>
        </w:rPr>
        <w:t xml:space="preserve"> 2021 ONCJ 186 </w:t>
      </w:r>
      <w:proofErr w:type="spellStart"/>
      <w:r w:rsidRPr="00554E16">
        <w:rPr>
          <w:rFonts w:ascii="Arial" w:hAnsi="Arial" w:cs="Arial"/>
          <w:b/>
          <w:bCs/>
          <w:color w:val="000000"/>
          <w:u w:val="single"/>
        </w:rPr>
        <w:t>Voir</w:t>
      </w:r>
      <w:proofErr w:type="spellEnd"/>
      <w:r w:rsidRPr="00554E16">
        <w:rPr>
          <w:rFonts w:ascii="Arial" w:hAnsi="Arial" w:cs="Arial"/>
          <w:b/>
          <w:bCs/>
          <w:color w:val="000000"/>
          <w:u w:val="single"/>
        </w:rPr>
        <w:t xml:space="preserve"> Dire Decision</w:t>
      </w:r>
    </w:p>
    <w:p w14:paraId="2C3B7148" w14:textId="77777777" w:rsidR="004D0D64" w:rsidRDefault="004D0D64" w:rsidP="004D0D64">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This case was a ruling on a </w:t>
      </w:r>
      <w:proofErr w:type="spellStart"/>
      <w:r w:rsidRPr="004A53C7">
        <w:rPr>
          <w:rFonts w:ascii="Arial" w:hAnsi="Arial" w:cs="Arial"/>
          <w:i/>
          <w:iCs/>
          <w:color w:val="000000"/>
        </w:rPr>
        <w:t>voir</w:t>
      </w:r>
      <w:proofErr w:type="spellEnd"/>
      <w:r w:rsidRPr="004A53C7">
        <w:rPr>
          <w:rFonts w:ascii="Arial" w:hAnsi="Arial" w:cs="Arial"/>
          <w:i/>
          <w:iCs/>
          <w:color w:val="000000"/>
        </w:rPr>
        <w:t xml:space="preserve"> dire</w:t>
      </w:r>
      <w:r>
        <w:rPr>
          <w:rFonts w:ascii="Arial" w:hAnsi="Arial" w:cs="Arial"/>
          <w:color w:val="000000"/>
        </w:rPr>
        <w:t xml:space="preserve"> held on the first day of a trial of a Status Review Application.  The Society had previously obtained a section 98 parenting capacity assessment on a motion before the case management judge.  The assessor’s qualifications were not contested at the hearing of the motion for the section 98 order.  The assessor in this case had a </w:t>
      </w:r>
      <w:proofErr w:type="gramStart"/>
      <w:r>
        <w:rPr>
          <w:rFonts w:ascii="Arial" w:hAnsi="Arial" w:cs="Arial"/>
          <w:color w:val="000000"/>
        </w:rPr>
        <w:t>Master’s</w:t>
      </w:r>
      <w:proofErr w:type="gramEnd"/>
      <w:r>
        <w:rPr>
          <w:rFonts w:ascii="Arial" w:hAnsi="Arial" w:cs="Arial"/>
          <w:color w:val="000000"/>
        </w:rPr>
        <w:t xml:space="preserve"> degree in counselling psychology and his regulatory body was the College of Alberta Psychologists.  </w:t>
      </w:r>
    </w:p>
    <w:p w14:paraId="7F7596EB" w14:textId="5B93C86B" w:rsidR="004D0D64" w:rsidRDefault="004D0D64" w:rsidP="004D0D64">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The court found that although the assessor had performed approximately 200 </w:t>
      </w:r>
      <w:r w:rsidR="006868BC">
        <w:rPr>
          <w:rFonts w:ascii="Arial" w:hAnsi="Arial" w:cs="Arial"/>
          <w:color w:val="000000"/>
        </w:rPr>
        <w:t>p</w:t>
      </w:r>
      <w:r>
        <w:rPr>
          <w:rFonts w:ascii="Arial" w:hAnsi="Arial" w:cs="Arial"/>
          <w:color w:val="000000"/>
        </w:rPr>
        <w:t xml:space="preserve">arenting </w:t>
      </w:r>
      <w:r w:rsidR="006868BC">
        <w:rPr>
          <w:rFonts w:ascii="Arial" w:hAnsi="Arial" w:cs="Arial"/>
          <w:color w:val="000000"/>
        </w:rPr>
        <w:t>c</w:t>
      </w:r>
      <w:r>
        <w:rPr>
          <w:rFonts w:ascii="Arial" w:hAnsi="Arial" w:cs="Arial"/>
          <w:color w:val="000000"/>
        </w:rPr>
        <w:t xml:space="preserve">apacity </w:t>
      </w:r>
      <w:r w:rsidR="006868BC">
        <w:rPr>
          <w:rFonts w:ascii="Arial" w:hAnsi="Arial" w:cs="Arial"/>
          <w:color w:val="000000"/>
        </w:rPr>
        <w:t>a</w:t>
      </w:r>
      <w:r>
        <w:rPr>
          <w:rFonts w:ascii="Arial" w:hAnsi="Arial" w:cs="Arial"/>
          <w:color w:val="000000"/>
        </w:rPr>
        <w:t>ssessments to date, this did not “necessarily equate to expertise sufficient to give an opinion on such tests in the context of legal proceedings”.</w:t>
      </w:r>
      <w:r>
        <w:rPr>
          <w:rStyle w:val="FootnoteReference"/>
          <w:rFonts w:ascii="Arial" w:hAnsi="Arial" w:cs="Arial"/>
          <w:color w:val="000000"/>
        </w:rPr>
        <w:footnoteReference w:id="85"/>
      </w:r>
      <w:r>
        <w:rPr>
          <w:rFonts w:ascii="Arial" w:hAnsi="Arial" w:cs="Arial"/>
          <w:color w:val="000000"/>
        </w:rPr>
        <w:t xml:space="preserve"> The court commented that the assessor had no professional publications and that his main education and experience in the use of parenting capacity assessments came from a two day seminar in 2010 and six to nine months of shadowing a mentor psychologist.</w:t>
      </w:r>
      <w:r>
        <w:rPr>
          <w:rStyle w:val="FootnoteReference"/>
          <w:rFonts w:ascii="Arial" w:hAnsi="Arial" w:cs="Arial"/>
          <w:color w:val="000000"/>
        </w:rPr>
        <w:footnoteReference w:id="86"/>
      </w:r>
    </w:p>
    <w:p w14:paraId="5D2BA550" w14:textId="5647658F" w:rsidR="004D0D64" w:rsidRDefault="004D0D64" w:rsidP="004D0D64">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The court found that the </w:t>
      </w:r>
      <w:r w:rsidR="00616E13">
        <w:rPr>
          <w:rFonts w:ascii="Arial" w:hAnsi="Arial" w:cs="Arial"/>
          <w:color w:val="000000"/>
        </w:rPr>
        <w:t xml:space="preserve">description on the College of Alberta’s website </w:t>
      </w:r>
      <w:r>
        <w:rPr>
          <w:rFonts w:ascii="Arial" w:hAnsi="Arial" w:cs="Arial"/>
          <w:color w:val="000000"/>
        </w:rPr>
        <w:t>of what falls within the branch of Forensic Psychology seems more suited to the type of expertise required to give expert opinion evidence on parenting capacity.  The court quoted the description of Forensic Psychology from the College’s website as follows:</w:t>
      </w:r>
      <w:r>
        <w:rPr>
          <w:rStyle w:val="FootnoteReference"/>
          <w:rFonts w:ascii="Arial" w:hAnsi="Arial" w:cs="Arial"/>
          <w:color w:val="000000"/>
        </w:rPr>
        <w:footnoteReference w:id="87"/>
      </w:r>
    </w:p>
    <w:p w14:paraId="6E71D649" w14:textId="77777777" w:rsidR="004D0D64" w:rsidRDefault="004D0D64" w:rsidP="004D0D64">
      <w:pPr>
        <w:pStyle w:val="doubleindent-quote"/>
        <w:spacing w:before="120" w:beforeAutospacing="0" w:after="240" w:afterAutospacing="0"/>
        <w:ind w:left="426" w:right="-23"/>
        <w:rPr>
          <w:rFonts w:ascii="Arial" w:hAnsi="Arial" w:cs="Arial"/>
          <w:color w:val="000000"/>
        </w:rPr>
      </w:pPr>
      <w:r>
        <w:rPr>
          <w:rFonts w:ascii="Arial" w:hAnsi="Arial" w:cs="Arial"/>
          <w:color w:val="000000"/>
        </w:rPr>
        <w:t xml:space="preserve">The application of psychological knowledge, </w:t>
      </w:r>
      <w:proofErr w:type="gramStart"/>
      <w:r>
        <w:rPr>
          <w:rFonts w:ascii="Arial" w:hAnsi="Arial" w:cs="Arial"/>
          <w:color w:val="000000"/>
        </w:rPr>
        <w:t>skills</w:t>
      </w:r>
      <w:proofErr w:type="gramEnd"/>
      <w:r>
        <w:rPr>
          <w:rFonts w:ascii="Arial" w:hAnsi="Arial" w:cs="Arial"/>
          <w:color w:val="000000"/>
        </w:rPr>
        <w:t xml:space="preserve"> and judgment about human behaviour to the understanding, assessment, diagnosis and/or treatment of individuals within the context of criminal and/or legal matters. </w:t>
      </w:r>
    </w:p>
    <w:p w14:paraId="2036A1C3" w14:textId="77777777" w:rsidR="004D0D64" w:rsidRDefault="004D0D64" w:rsidP="004D0D64">
      <w:pPr>
        <w:pStyle w:val="doubleindent-quote"/>
        <w:spacing w:before="120" w:beforeAutospacing="0" w:after="240" w:afterAutospacing="0"/>
        <w:ind w:right="-23"/>
        <w:rPr>
          <w:rFonts w:ascii="Arial" w:hAnsi="Arial" w:cs="Arial"/>
          <w:color w:val="000000"/>
        </w:rPr>
      </w:pPr>
      <w:r>
        <w:rPr>
          <w:rFonts w:ascii="Arial" w:hAnsi="Arial" w:cs="Arial"/>
          <w:color w:val="000000"/>
        </w:rPr>
        <w:lastRenderedPageBreak/>
        <w:t>The court was also concerned that the assessor had not signed a Form 20.2 acknowledgement of expert’s duty and he did not seem to understand that he was the court’s expert.  It was his understanding that he was working for the Society.</w:t>
      </w:r>
      <w:r>
        <w:rPr>
          <w:rStyle w:val="FootnoteReference"/>
          <w:rFonts w:ascii="Arial" w:hAnsi="Arial" w:cs="Arial"/>
          <w:color w:val="000000"/>
        </w:rPr>
        <w:footnoteReference w:id="88"/>
      </w:r>
    </w:p>
    <w:p w14:paraId="6AE87766" w14:textId="0A191472" w:rsidR="004D0D64" w:rsidRDefault="004D0D64" w:rsidP="004D0D64">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Despite this ruling, the court did rely upon two sections of the </w:t>
      </w:r>
      <w:r w:rsidR="00690FD1">
        <w:rPr>
          <w:rFonts w:ascii="Arial" w:hAnsi="Arial" w:cs="Arial"/>
          <w:color w:val="000000"/>
        </w:rPr>
        <w:t>p</w:t>
      </w:r>
      <w:r>
        <w:rPr>
          <w:rFonts w:ascii="Arial" w:hAnsi="Arial" w:cs="Arial"/>
          <w:color w:val="000000"/>
        </w:rPr>
        <w:t xml:space="preserve">arenting </w:t>
      </w:r>
      <w:r w:rsidR="00690FD1">
        <w:rPr>
          <w:rFonts w:ascii="Arial" w:hAnsi="Arial" w:cs="Arial"/>
          <w:color w:val="000000"/>
        </w:rPr>
        <w:t>c</w:t>
      </w:r>
      <w:r>
        <w:rPr>
          <w:rFonts w:ascii="Arial" w:hAnsi="Arial" w:cs="Arial"/>
          <w:color w:val="000000"/>
        </w:rPr>
        <w:t xml:space="preserve">apacity </w:t>
      </w:r>
      <w:r w:rsidR="00690FD1">
        <w:rPr>
          <w:rFonts w:ascii="Arial" w:hAnsi="Arial" w:cs="Arial"/>
          <w:color w:val="000000"/>
        </w:rPr>
        <w:t>a</w:t>
      </w:r>
      <w:r>
        <w:rPr>
          <w:rFonts w:ascii="Arial" w:hAnsi="Arial" w:cs="Arial"/>
          <w:color w:val="000000"/>
        </w:rPr>
        <w:t>ssessment</w:t>
      </w:r>
      <w:r w:rsidR="00F10DCE">
        <w:rPr>
          <w:rFonts w:ascii="Arial" w:hAnsi="Arial" w:cs="Arial"/>
          <w:color w:val="000000"/>
        </w:rPr>
        <w:t>.</w:t>
      </w:r>
      <w:r>
        <w:rPr>
          <w:rFonts w:ascii="Arial" w:hAnsi="Arial" w:cs="Arial"/>
          <w:color w:val="000000"/>
        </w:rPr>
        <w:t xml:space="preserve">  The court accepted the assessor’s opinion evidence related to the assessment of the mother’s intelligence</w:t>
      </w:r>
      <w:r w:rsidR="00F10DCE">
        <w:rPr>
          <w:rFonts w:ascii="Arial" w:hAnsi="Arial" w:cs="Arial"/>
          <w:color w:val="000000"/>
        </w:rPr>
        <w:t>,</w:t>
      </w:r>
      <w:r>
        <w:rPr>
          <w:rFonts w:ascii="Arial" w:hAnsi="Arial" w:cs="Arial"/>
          <w:color w:val="000000"/>
        </w:rPr>
        <w:t xml:space="preserve"> which relied upon the use of the Weschler Adult Intelligence Scale.  The court also placed some weight on the assessor’s direct observational evidence of the mother’s interactions with the child.</w:t>
      </w:r>
      <w:r>
        <w:rPr>
          <w:rStyle w:val="FootnoteReference"/>
          <w:rFonts w:ascii="Arial" w:hAnsi="Arial" w:cs="Arial"/>
          <w:color w:val="000000"/>
        </w:rPr>
        <w:footnoteReference w:id="89"/>
      </w:r>
    </w:p>
    <w:p w14:paraId="50AA82B1" w14:textId="0816C585" w:rsidR="00423F72" w:rsidRPr="009773C5" w:rsidRDefault="009773C5" w:rsidP="00351496">
      <w:pPr>
        <w:rPr>
          <w:rFonts w:ascii="Arial" w:hAnsi="Arial" w:cs="Arial"/>
          <w:b/>
          <w:bCs/>
          <w:sz w:val="24"/>
          <w:szCs w:val="24"/>
          <w:u w:val="single"/>
        </w:rPr>
      </w:pPr>
      <w:r w:rsidRPr="009773C5">
        <w:rPr>
          <w:rFonts w:ascii="Arial" w:hAnsi="Arial" w:cs="Arial"/>
          <w:b/>
          <w:bCs/>
          <w:i/>
          <w:iCs/>
          <w:sz w:val="24"/>
          <w:szCs w:val="24"/>
          <w:u w:val="single"/>
        </w:rPr>
        <w:t>The Children’s Aid Society of Toronto v. A.L.</w:t>
      </w:r>
      <w:r w:rsidRPr="009773C5">
        <w:rPr>
          <w:rFonts w:ascii="Arial" w:hAnsi="Arial" w:cs="Arial"/>
          <w:b/>
          <w:bCs/>
          <w:sz w:val="24"/>
          <w:szCs w:val="24"/>
          <w:u w:val="single"/>
        </w:rPr>
        <w:t xml:space="preserve"> 2021 ONCJ 258</w:t>
      </w:r>
    </w:p>
    <w:p w14:paraId="56F57DE2" w14:textId="77777777" w:rsidR="008738B1" w:rsidRDefault="004A7F24" w:rsidP="005B42E4">
      <w:pPr>
        <w:rPr>
          <w:rFonts w:ascii="Arial" w:hAnsi="Arial" w:cs="Arial"/>
          <w:sz w:val="24"/>
          <w:szCs w:val="24"/>
        </w:rPr>
      </w:pPr>
      <w:r>
        <w:rPr>
          <w:rFonts w:ascii="Arial" w:hAnsi="Arial" w:cs="Arial"/>
          <w:sz w:val="24"/>
          <w:szCs w:val="24"/>
        </w:rPr>
        <w:t>Further r</w:t>
      </w:r>
      <w:r w:rsidR="002A32BA">
        <w:rPr>
          <w:rFonts w:ascii="Arial" w:hAnsi="Arial" w:cs="Arial"/>
          <w:sz w:val="24"/>
          <w:szCs w:val="24"/>
        </w:rPr>
        <w:t>e</w:t>
      </w:r>
      <w:r w:rsidR="00790688">
        <w:rPr>
          <w:rFonts w:ascii="Arial" w:hAnsi="Arial" w:cs="Arial"/>
          <w:sz w:val="24"/>
          <w:szCs w:val="24"/>
        </w:rPr>
        <w:t xml:space="preserve">commendations from the bench to the Ontario College of Psychologists </w:t>
      </w:r>
      <w:r>
        <w:rPr>
          <w:rFonts w:ascii="Arial" w:hAnsi="Arial" w:cs="Arial"/>
          <w:sz w:val="24"/>
          <w:szCs w:val="24"/>
        </w:rPr>
        <w:t xml:space="preserve">were made </w:t>
      </w:r>
      <w:r w:rsidR="00790688">
        <w:rPr>
          <w:rFonts w:ascii="Arial" w:hAnsi="Arial" w:cs="Arial"/>
          <w:sz w:val="24"/>
          <w:szCs w:val="24"/>
        </w:rPr>
        <w:t xml:space="preserve">in </w:t>
      </w:r>
      <w:r w:rsidR="00FD4612">
        <w:rPr>
          <w:rFonts w:ascii="Arial" w:hAnsi="Arial" w:cs="Arial"/>
          <w:sz w:val="24"/>
          <w:szCs w:val="24"/>
        </w:rPr>
        <w:t xml:space="preserve">2021 in </w:t>
      </w:r>
      <w:r w:rsidR="00FD4612" w:rsidRPr="00BD3E7D">
        <w:rPr>
          <w:rFonts w:ascii="Arial" w:hAnsi="Arial" w:cs="Arial"/>
          <w:i/>
          <w:iCs/>
          <w:sz w:val="24"/>
          <w:szCs w:val="24"/>
        </w:rPr>
        <w:t>The Children’s Aid Society of</w:t>
      </w:r>
      <w:r w:rsidRPr="00BD3E7D">
        <w:rPr>
          <w:rFonts w:ascii="Arial" w:hAnsi="Arial" w:cs="Arial"/>
          <w:i/>
          <w:iCs/>
          <w:sz w:val="24"/>
          <w:szCs w:val="24"/>
        </w:rPr>
        <w:t xml:space="preserve"> Toronto v. A.L</w:t>
      </w:r>
      <w:r w:rsidRPr="000562F0">
        <w:rPr>
          <w:rFonts w:ascii="Arial" w:hAnsi="Arial" w:cs="Arial"/>
          <w:sz w:val="24"/>
          <w:szCs w:val="24"/>
        </w:rPr>
        <w:t>.</w:t>
      </w:r>
      <w:r w:rsidR="00DD4400" w:rsidRPr="000562F0">
        <w:rPr>
          <w:rStyle w:val="FootnoteReference"/>
          <w:rFonts w:ascii="Arial" w:hAnsi="Arial" w:cs="Arial"/>
          <w:sz w:val="24"/>
          <w:szCs w:val="24"/>
        </w:rPr>
        <w:footnoteReference w:id="90"/>
      </w:r>
      <w:r w:rsidR="000562F0">
        <w:rPr>
          <w:rFonts w:ascii="Arial" w:hAnsi="Arial" w:cs="Arial"/>
          <w:sz w:val="24"/>
          <w:szCs w:val="24"/>
        </w:rPr>
        <w:t xml:space="preserve">  </w:t>
      </w:r>
      <w:r w:rsidR="00782F6F">
        <w:rPr>
          <w:rFonts w:ascii="Arial" w:hAnsi="Arial" w:cs="Arial"/>
          <w:sz w:val="24"/>
          <w:szCs w:val="24"/>
        </w:rPr>
        <w:t xml:space="preserve">In this </w:t>
      </w:r>
      <w:r w:rsidR="00A2508C">
        <w:rPr>
          <w:rFonts w:ascii="Arial" w:hAnsi="Arial" w:cs="Arial"/>
          <w:sz w:val="24"/>
          <w:szCs w:val="24"/>
        </w:rPr>
        <w:t xml:space="preserve">case, </w:t>
      </w:r>
      <w:r w:rsidR="00405B6C">
        <w:rPr>
          <w:rFonts w:ascii="Arial" w:hAnsi="Arial" w:cs="Arial"/>
          <w:sz w:val="24"/>
          <w:szCs w:val="24"/>
        </w:rPr>
        <w:t xml:space="preserve">the parenting issue of concern was the impact of the mother’s </w:t>
      </w:r>
      <w:r w:rsidR="008738B1">
        <w:rPr>
          <w:rFonts w:ascii="Arial" w:hAnsi="Arial" w:cs="Arial"/>
          <w:sz w:val="24"/>
          <w:szCs w:val="24"/>
        </w:rPr>
        <w:t>level of cognitive functioning on her capacity to parent.</w:t>
      </w:r>
    </w:p>
    <w:p w14:paraId="5BFFFE1E" w14:textId="33CB5329" w:rsidR="005B42E4" w:rsidRDefault="008738B1" w:rsidP="005B42E4">
      <w:pPr>
        <w:rPr>
          <w:rFonts w:ascii="Arial" w:hAnsi="Arial" w:cs="Arial"/>
          <w:sz w:val="24"/>
          <w:szCs w:val="24"/>
        </w:rPr>
      </w:pPr>
      <w:r>
        <w:rPr>
          <w:rFonts w:ascii="Arial" w:hAnsi="Arial" w:cs="Arial"/>
          <w:sz w:val="24"/>
          <w:szCs w:val="24"/>
        </w:rPr>
        <w:t>A</w:t>
      </w:r>
      <w:r w:rsidR="001D5933">
        <w:rPr>
          <w:rFonts w:ascii="Arial" w:hAnsi="Arial" w:cs="Arial"/>
          <w:sz w:val="24"/>
          <w:szCs w:val="24"/>
        </w:rPr>
        <w:t xml:space="preserve"> parenting capacity assessment was conducted by an experienced </w:t>
      </w:r>
      <w:r w:rsidR="002B60E9">
        <w:rPr>
          <w:rFonts w:ascii="Arial" w:hAnsi="Arial" w:cs="Arial"/>
          <w:sz w:val="24"/>
          <w:szCs w:val="24"/>
        </w:rPr>
        <w:t>assessor</w:t>
      </w:r>
      <w:r w:rsidR="00D47DD2">
        <w:rPr>
          <w:rFonts w:ascii="Arial" w:hAnsi="Arial" w:cs="Arial"/>
          <w:sz w:val="24"/>
          <w:szCs w:val="24"/>
        </w:rPr>
        <w:t xml:space="preserve">, Dr. McDermott, who </w:t>
      </w:r>
      <w:r w:rsidR="000D289B">
        <w:rPr>
          <w:rFonts w:ascii="Arial" w:hAnsi="Arial" w:cs="Arial"/>
          <w:sz w:val="24"/>
          <w:szCs w:val="24"/>
        </w:rPr>
        <w:t>was a registered clinical psychologist</w:t>
      </w:r>
      <w:r w:rsidR="004B1AD5">
        <w:rPr>
          <w:rFonts w:ascii="Arial" w:hAnsi="Arial" w:cs="Arial"/>
          <w:sz w:val="24"/>
          <w:szCs w:val="24"/>
        </w:rPr>
        <w:t xml:space="preserve"> with 24 years of experience</w:t>
      </w:r>
      <w:r w:rsidR="005F29CA">
        <w:rPr>
          <w:rFonts w:ascii="Arial" w:hAnsi="Arial" w:cs="Arial"/>
          <w:sz w:val="24"/>
          <w:szCs w:val="24"/>
        </w:rPr>
        <w:t xml:space="preserve">.  </w:t>
      </w:r>
      <w:r w:rsidR="00864A97">
        <w:rPr>
          <w:rFonts w:ascii="Arial" w:hAnsi="Arial" w:cs="Arial"/>
          <w:sz w:val="24"/>
          <w:szCs w:val="24"/>
        </w:rPr>
        <w:t xml:space="preserve">This case involved </w:t>
      </w:r>
      <w:r w:rsidR="001F2A39">
        <w:rPr>
          <w:rFonts w:ascii="Arial" w:hAnsi="Arial" w:cs="Arial"/>
          <w:sz w:val="24"/>
          <w:szCs w:val="24"/>
        </w:rPr>
        <w:t>a two</w:t>
      </w:r>
      <w:r w:rsidR="008875D7">
        <w:rPr>
          <w:rFonts w:ascii="Arial" w:hAnsi="Arial" w:cs="Arial"/>
          <w:sz w:val="24"/>
          <w:szCs w:val="24"/>
        </w:rPr>
        <w:t>-</w:t>
      </w:r>
      <w:r w:rsidR="001F2A39">
        <w:rPr>
          <w:rFonts w:ascii="Arial" w:hAnsi="Arial" w:cs="Arial"/>
          <w:sz w:val="24"/>
          <w:szCs w:val="24"/>
        </w:rPr>
        <w:t xml:space="preserve">year old child </w:t>
      </w:r>
      <w:r w:rsidR="00FF2B79">
        <w:rPr>
          <w:rFonts w:ascii="Arial" w:hAnsi="Arial" w:cs="Arial"/>
          <w:sz w:val="24"/>
          <w:szCs w:val="24"/>
        </w:rPr>
        <w:t xml:space="preserve">for whom </w:t>
      </w:r>
      <w:r w:rsidR="001F2A39">
        <w:rPr>
          <w:rFonts w:ascii="Arial" w:hAnsi="Arial" w:cs="Arial"/>
          <w:sz w:val="24"/>
          <w:szCs w:val="24"/>
        </w:rPr>
        <w:t>the Society was seeking an extended care order based on concerns about the mother’s intellectual functioning and the risk of neglect</w:t>
      </w:r>
      <w:r w:rsidR="005B42E4">
        <w:rPr>
          <w:rFonts w:ascii="Arial" w:hAnsi="Arial" w:cs="Arial"/>
          <w:sz w:val="24"/>
          <w:szCs w:val="24"/>
        </w:rPr>
        <w:t xml:space="preserve">. </w:t>
      </w:r>
    </w:p>
    <w:p w14:paraId="0397B60E" w14:textId="77777777" w:rsidR="005B42E4" w:rsidRDefault="008875D7" w:rsidP="005B42E4">
      <w:pPr>
        <w:rPr>
          <w:rFonts w:ascii="Arial" w:hAnsi="Arial" w:cs="Arial"/>
          <w:sz w:val="24"/>
          <w:szCs w:val="24"/>
        </w:rPr>
      </w:pPr>
      <w:r>
        <w:rPr>
          <w:rFonts w:ascii="Arial" w:hAnsi="Arial" w:cs="Arial"/>
          <w:sz w:val="24"/>
          <w:szCs w:val="24"/>
        </w:rPr>
        <w:t>N</w:t>
      </w:r>
      <w:r w:rsidR="00E76239" w:rsidRPr="008A6B02">
        <w:rPr>
          <w:rFonts w:ascii="Arial" w:hAnsi="Arial" w:cs="Arial"/>
          <w:sz w:val="24"/>
          <w:szCs w:val="24"/>
        </w:rPr>
        <w:t>o s</w:t>
      </w:r>
      <w:r>
        <w:rPr>
          <w:rFonts w:ascii="Arial" w:hAnsi="Arial" w:cs="Arial"/>
          <w:sz w:val="24"/>
          <w:szCs w:val="24"/>
        </w:rPr>
        <w:t>ection</w:t>
      </w:r>
      <w:r w:rsidR="00E76239" w:rsidRPr="008A6B02">
        <w:rPr>
          <w:rFonts w:ascii="Arial" w:hAnsi="Arial" w:cs="Arial"/>
          <w:sz w:val="24"/>
          <w:szCs w:val="24"/>
        </w:rPr>
        <w:t xml:space="preserve"> 98 court order was obtained for the assessment</w:t>
      </w:r>
      <w:r w:rsidR="00E76239" w:rsidRPr="00197D74">
        <w:rPr>
          <w:rFonts w:ascii="Arial" w:hAnsi="Arial" w:cs="Arial"/>
          <w:i/>
          <w:iCs/>
          <w:sz w:val="24"/>
          <w:szCs w:val="24"/>
        </w:rPr>
        <w:t>.</w:t>
      </w:r>
      <w:r w:rsidR="00E76239" w:rsidRPr="006A045A">
        <w:rPr>
          <w:rFonts w:ascii="Arial" w:hAnsi="Arial" w:cs="Arial"/>
          <w:sz w:val="24"/>
          <w:szCs w:val="24"/>
        </w:rPr>
        <w:t xml:space="preserve">  However, the assessor was chosen on consent and a joint retainer letter was prepared by counsel</w:t>
      </w:r>
      <w:r w:rsidR="004F0065">
        <w:rPr>
          <w:rFonts w:ascii="Arial" w:hAnsi="Arial" w:cs="Arial"/>
          <w:sz w:val="24"/>
          <w:szCs w:val="24"/>
        </w:rPr>
        <w:t xml:space="preserve"> for the Society and the mother</w:t>
      </w:r>
      <w:r w:rsidR="00E76239" w:rsidRPr="006A045A">
        <w:rPr>
          <w:rFonts w:ascii="Arial" w:hAnsi="Arial" w:cs="Arial"/>
          <w:sz w:val="24"/>
          <w:szCs w:val="24"/>
        </w:rPr>
        <w:t>.  The assessor concluded that the mother was not capable of parenting the child independently due to a “severe non-verbal learning disability.”  She found that the mother missed seemingly simple cues</w:t>
      </w:r>
      <w:r w:rsidR="00E76239">
        <w:rPr>
          <w:rFonts w:ascii="Arial" w:hAnsi="Arial" w:cs="Arial"/>
          <w:sz w:val="24"/>
          <w:szCs w:val="24"/>
        </w:rPr>
        <w:t xml:space="preserve"> from the child</w:t>
      </w:r>
      <w:r w:rsidR="00E76239" w:rsidRPr="006A045A">
        <w:rPr>
          <w:rFonts w:ascii="Arial" w:hAnsi="Arial" w:cs="Arial"/>
          <w:sz w:val="24"/>
          <w:szCs w:val="24"/>
        </w:rPr>
        <w:t xml:space="preserve">, “cues that often appear painfully obvious to those who work with her.” </w:t>
      </w:r>
      <w:r w:rsidR="00197B0F">
        <w:rPr>
          <w:rStyle w:val="FootnoteReference"/>
          <w:rFonts w:ascii="Arial" w:hAnsi="Arial" w:cs="Arial"/>
          <w:sz w:val="24"/>
          <w:szCs w:val="24"/>
        </w:rPr>
        <w:footnoteReference w:id="91"/>
      </w:r>
    </w:p>
    <w:p w14:paraId="6FC5FD20" w14:textId="77777777" w:rsidR="002A22BB" w:rsidRDefault="00E76239" w:rsidP="002A22BB">
      <w:pPr>
        <w:rPr>
          <w:rFonts w:ascii="Arial" w:hAnsi="Arial" w:cs="Arial"/>
          <w:sz w:val="24"/>
          <w:szCs w:val="24"/>
        </w:rPr>
      </w:pPr>
      <w:r w:rsidRPr="006A045A">
        <w:rPr>
          <w:rFonts w:ascii="Arial" w:hAnsi="Arial" w:cs="Arial"/>
          <w:sz w:val="24"/>
          <w:szCs w:val="24"/>
        </w:rPr>
        <w:t xml:space="preserve">A </w:t>
      </w:r>
      <w:r>
        <w:rPr>
          <w:rFonts w:ascii="Arial" w:hAnsi="Arial" w:cs="Arial"/>
          <w:sz w:val="24"/>
          <w:szCs w:val="24"/>
        </w:rPr>
        <w:t>three</w:t>
      </w:r>
      <w:r w:rsidR="00137BB0">
        <w:rPr>
          <w:rFonts w:ascii="Arial" w:hAnsi="Arial" w:cs="Arial"/>
          <w:sz w:val="24"/>
          <w:szCs w:val="24"/>
        </w:rPr>
        <w:t>-</w:t>
      </w:r>
      <w:r>
        <w:rPr>
          <w:rFonts w:ascii="Arial" w:hAnsi="Arial" w:cs="Arial"/>
          <w:sz w:val="24"/>
          <w:szCs w:val="24"/>
        </w:rPr>
        <w:t xml:space="preserve">day </w:t>
      </w:r>
      <w:proofErr w:type="spellStart"/>
      <w:r w:rsidRPr="00E669D7">
        <w:rPr>
          <w:rFonts w:ascii="Arial" w:hAnsi="Arial" w:cs="Arial"/>
          <w:i/>
          <w:iCs/>
          <w:sz w:val="24"/>
          <w:szCs w:val="24"/>
        </w:rPr>
        <w:t>voir</w:t>
      </w:r>
      <w:proofErr w:type="spellEnd"/>
      <w:r w:rsidRPr="00E669D7">
        <w:rPr>
          <w:rFonts w:ascii="Arial" w:hAnsi="Arial" w:cs="Arial"/>
          <w:i/>
          <w:iCs/>
          <w:sz w:val="24"/>
          <w:szCs w:val="24"/>
        </w:rPr>
        <w:t xml:space="preserve"> dire</w:t>
      </w:r>
      <w:r w:rsidRPr="006A045A">
        <w:rPr>
          <w:rFonts w:ascii="Arial" w:hAnsi="Arial" w:cs="Arial"/>
          <w:sz w:val="24"/>
          <w:szCs w:val="24"/>
        </w:rPr>
        <w:t xml:space="preserve"> was held </w:t>
      </w:r>
      <w:r>
        <w:rPr>
          <w:rFonts w:ascii="Arial" w:hAnsi="Arial" w:cs="Arial"/>
          <w:sz w:val="24"/>
          <w:szCs w:val="24"/>
        </w:rPr>
        <w:t>during the eleven</w:t>
      </w:r>
      <w:r w:rsidR="00B03762">
        <w:rPr>
          <w:rFonts w:ascii="Arial" w:hAnsi="Arial" w:cs="Arial"/>
          <w:sz w:val="24"/>
          <w:szCs w:val="24"/>
        </w:rPr>
        <w:t>-</w:t>
      </w:r>
      <w:r>
        <w:rPr>
          <w:rFonts w:ascii="Arial" w:hAnsi="Arial" w:cs="Arial"/>
          <w:sz w:val="24"/>
          <w:szCs w:val="24"/>
        </w:rPr>
        <w:t xml:space="preserve">day trial </w:t>
      </w:r>
      <w:r w:rsidRPr="006A045A">
        <w:rPr>
          <w:rFonts w:ascii="Arial" w:hAnsi="Arial" w:cs="Arial"/>
          <w:sz w:val="24"/>
          <w:szCs w:val="24"/>
        </w:rPr>
        <w:t xml:space="preserve">in relation to the admissibility of this expert opinion evidence. A second psychologist, Dr. </w:t>
      </w:r>
      <w:r w:rsidR="006573BA">
        <w:rPr>
          <w:rFonts w:ascii="Arial" w:hAnsi="Arial" w:cs="Arial"/>
          <w:sz w:val="24"/>
          <w:szCs w:val="24"/>
        </w:rPr>
        <w:t xml:space="preserve">Peter </w:t>
      </w:r>
      <w:r w:rsidRPr="006A045A">
        <w:rPr>
          <w:rFonts w:ascii="Arial" w:hAnsi="Arial" w:cs="Arial"/>
          <w:sz w:val="24"/>
          <w:szCs w:val="24"/>
        </w:rPr>
        <w:t xml:space="preserve">Marshall, was retained by the mother’s counsel to conduct a critique of the Parenting Capacity Assessment prepared by the first psychologist.  Unlike the parenting capacity assessor, this critique assessor was not jointly </w:t>
      </w:r>
      <w:proofErr w:type="gramStart"/>
      <w:r w:rsidRPr="006A045A">
        <w:rPr>
          <w:rFonts w:ascii="Arial" w:hAnsi="Arial" w:cs="Arial"/>
          <w:sz w:val="24"/>
          <w:szCs w:val="24"/>
        </w:rPr>
        <w:t>selected</w:t>
      </w:r>
      <w:proofErr w:type="gramEnd"/>
      <w:r w:rsidRPr="006A045A">
        <w:rPr>
          <w:rFonts w:ascii="Arial" w:hAnsi="Arial" w:cs="Arial"/>
          <w:sz w:val="24"/>
          <w:szCs w:val="24"/>
        </w:rPr>
        <w:t xml:space="preserve"> and no joint letter was sent to him.  He testified that he has been qualified as an expert witness </w:t>
      </w:r>
      <w:r>
        <w:rPr>
          <w:rFonts w:ascii="Arial" w:hAnsi="Arial" w:cs="Arial"/>
          <w:sz w:val="24"/>
          <w:szCs w:val="24"/>
        </w:rPr>
        <w:t>in relation to</w:t>
      </w:r>
      <w:r w:rsidRPr="006A045A">
        <w:rPr>
          <w:rFonts w:ascii="Arial" w:hAnsi="Arial" w:cs="Arial"/>
          <w:sz w:val="24"/>
          <w:szCs w:val="24"/>
        </w:rPr>
        <w:t xml:space="preserve"> parenting capacity assessments on approximately 15 occasions and had previously conducted approximately</w:t>
      </w:r>
      <w:r w:rsidR="000C216F">
        <w:rPr>
          <w:rFonts w:ascii="Arial" w:hAnsi="Arial" w:cs="Arial"/>
          <w:sz w:val="24"/>
          <w:szCs w:val="24"/>
        </w:rPr>
        <w:t xml:space="preserve"> 10</w:t>
      </w:r>
      <w:r w:rsidRPr="006A045A">
        <w:rPr>
          <w:rFonts w:ascii="Arial" w:hAnsi="Arial" w:cs="Arial"/>
          <w:sz w:val="24"/>
          <w:szCs w:val="24"/>
        </w:rPr>
        <w:t xml:space="preserve"> critiques.</w:t>
      </w:r>
      <w:r w:rsidR="004D5A80">
        <w:rPr>
          <w:rStyle w:val="FootnoteReference"/>
          <w:rFonts w:ascii="Arial" w:hAnsi="Arial" w:cs="Arial"/>
          <w:sz w:val="24"/>
          <w:szCs w:val="24"/>
        </w:rPr>
        <w:footnoteReference w:id="92"/>
      </w:r>
      <w:r>
        <w:rPr>
          <w:rFonts w:ascii="Arial" w:hAnsi="Arial" w:cs="Arial"/>
          <w:sz w:val="24"/>
          <w:szCs w:val="24"/>
        </w:rPr>
        <w:t xml:space="preserve"> </w:t>
      </w:r>
    </w:p>
    <w:p w14:paraId="4B0D5D35" w14:textId="45001BD0" w:rsidR="008A0943" w:rsidRDefault="00E76239" w:rsidP="002A22BB">
      <w:pPr>
        <w:rPr>
          <w:rFonts w:ascii="Arial" w:hAnsi="Arial" w:cs="Arial"/>
          <w:sz w:val="24"/>
          <w:szCs w:val="24"/>
        </w:rPr>
      </w:pPr>
      <w:r w:rsidRPr="006A045A">
        <w:rPr>
          <w:rFonts w:ascii="Arial" w:hAnsi="Arial" w:cs="Arial"/>
          <w:sz w:val="24"/>
          <w:szCs w:val="24"/>
        </w:rPr>
        <w:t xml:space="preserve">Dr. Marshall raised concerns about Dr. McDermott’s interpretation of the psychometric testing, her use of some </w:t>
      </w:r>
      <w:r w:rsidR="000344D7">
        <w:rPr>
          <w:rFonts w:ascii="Arial" w:hAnsi="Arial" w:cs="Arial"/>
          <w:sz w:val="24"/>
          <w:szCs w:val="24"/>
        </w:rPr>
        <w:t xml:space="preserve">outdated </w:t>
      </w:r>
      <w:r w:rsidRPr="006A045A">
        <w:rPr>
          <w:rFonts w:ascii="Arial" w:hAnsi="Arial" w:cs="Arial"/>
          <w:sz w:val="24"/>
          <w:szCs w:val="24"/>
        </w:rPr>
        <w:t>tests</w:t>
      </w:r>
      <w:r w:rsidR="00035937">
        <w:rPr>
          <w:rFonts w:ascii="Arial" w:hAnsi="Arial" w:cs="Arial"/>
          <w:sz w:val="24"/>
          <w:szCs w:val="24"/>
        </w:rPr>
        <w:t>,</w:t>
      </w:r>
      <w:r>
        <w:rPr>
          <w:rFonts w:ascii="Arial" w:hAnsi="Arial" w:cs="Arial"/>
          <w:sz w:val="24"/>
          <w:szCs w:val="24"/>
        </w:rPr>
        <w:t xml:space="preserve"> </w:t>
      </w:r>
      <w:r w:rsidRPr="006A045A">
        <w:rPr>
          <w:rFonts w:ascii="Arial" w:hAnsi="Arial" w:cs="Arial"/>
          <w:sz w:val="24"/>
          <w:szCs w:val="24"/>
        </w:rPr>
        <w:t xml:space="preserve">and her conclusion that the mother’s </w:t>
      </w:r>
      <w:r w:rsidRPr="006A045A">
        <w:rPr>
          <w:rFonts w:ascii="Arial" w:hAnsi="Arial" w:cs="Arial"/>
          <w:sz w:val="24"/>
          <w:szCs w:val="24"/>
        </w:rPr>
        <w:lastRenderedPageBreak/>
        <w:t xml:space="preserve">intellectual disability was determinative of her parenting capacity.  </w:t>
      </w:r>
      <w:r>
        <w:rPr>
          <w:rFonts w:ascii="Arial" w:hAnsi="Arial" w:cs="Arial"/>
          <w:sz w:val="24"/>
          <w:szCs w:val="24"/>
        </w:rPr>
        <w:t>He gave evidence that the peer-reviewed research reflects that there is no correlation between IQ score and parenting capacity until the IQ score falls below 50</w:t>
      </w:r>
      <w:r w:rsidR="002336B6">
        <w:rPr>
          <w:rFonts w:ascii="Arial" w:hAnsi="Arial" w:cs="Arial"/>
          <w:sz w:val="24"/>
          <w:szCs w:val="24"/>
        </w:rPr>
        <w:t>.</w:t>
      </w:r>
      <w:r w:rsidR="002336B6">
        <w:rPr>
          <w:rStyle w:val="FootnoteReference"/>
          <w:rFonts w:ascii="Arial" w:hAnsi="Arial" w:cs="Arial"/>
          <w:sz w:val="24"/>
          <w:szCs w:val="24"/>
        </w:rPr>
        <w:footnoteReference w:id="93"/>
      </w:r>
      <w:r>
        <w:rPr>
          <w:rFonts w:ascii="Arial" w:hAnsi="Arial" w:cs="Arial"/>
          <w:sz w:val="24"/>
          <w:szCs w:val="24"/>
        </w:rPr>
        <w:t xml:space="preserve"> Dr. Marshall</w:t>
      </w:r>
      <w:r w:rsidRPr="006A045A">
        <w:rPr>
          <w:rFonts w:ascii="Arial" w:hAnsi="Arial" w:cs="Arial"/>
          <w:sz w:val="24"/>
          <w:szCs w:val="24"/>
        </w:rPr>
        <w:t xml:space="preserve"> also raised concerns about the amount of time that Dr. McDermott had spent observing the mother and child.  She had spent 4 hours over two visits observing the mother and child during access visits at the Society office.  Dr. Marshall opined that the average period of observation for any one visit should be a minimum of four consecutive hours.</w:t>
      </w:r>
      <w:r w:rsidR="002C44DF">
        <w:rPr>
          <w:rStyle w:val="FootnoteReference"/>
          <w:rFonts w:ascii="Arial" w:hAnsi="Arial" w:cs="Arial"/>
          <w:sz w:val="24"/>
          <w:szCs w:val="24"/>
        </w:rPr>
        <w:footnoteReference w:id="94"/>
      </w:r>
      <w:r w:rsidRPr="006A045A">
        <w:rPr>
          <w:rFonts w:ascii="Arial" w:hAnsi="Arial" w:cs="Arial"/>
          <w:sz w:val="24"/>
          <w:szCs w:val="24"/>
        </w:rPr>
        <w:t xml:space="preserve"> </w:t>
      </w:r>
    </w:p>
    <w:p w14:paraId="7A33A32E" w14:textId="77777777" w:rsidR="008A0943" w:rsidRDefault="00E76239" w:rsidP="008A0943">
      <w:pPr>
        <w:rPr>
          <w:rFonts w:ascii="Arial" w:hAnsi="Arial" w:cs="Arial"/>
          <w:sz w:val="24"/>
          <w:szCs w:val="24"/>
        </w:rPr>
      </w:pPr>
      <w:r w:rsidRPr="006A045A">
        <w:rPr>
          <w:rFonts w:ascii="Arial" w:hAnsi="Arial" w:cs="Arial"/>
          <w:sz w:val="24"/>
          <w:szCs w:val="24"/>
        </w:rPr>
        <w:t xml:space="preserve">A further concern </w:t>
      </w:r>
      <w:r>
        <w:rPr>
          <w:rFonts w:ascii="Arial" w:hAnsi="Arial" w:cs="Arial"/>
          <w:sz w:val="24"/>
          <w:szCs w:val="24"/>
        </w:rPr>
        <w:t xml:space="preserve">of the court </w:t>
      </w:r>
      <w:r w:rsidRPr="006A045A">
        <w:rPr>
          <w:rFonts w:ascii="Arial" w:hAnsi="Arial" w:cs="Arial"/>
          <w:sz w:val="24"/>
          <w:szCs w:val="24"/>
        </w:rPr>
        <w:t>was that Dr. McDermott did not appear to recall signing the “Acknowledgement of Expert’s Duty” and did not seem to understand her duty to be “objective, fair and non-partisan”.</w:t>
      </w:r>
      <w:r w:rsidR="00CB1EBF">
        <w:rPr>
          <w:rStyle w:val="FootnoteReference"/>
          <w:rFonts w:ascii="Arial" w:hAnsi="Arial" w:cs="Arial"/>
          <w:sz w:val="24"/>
          <w:szCs w:val="24"/>
        </w:rPr>
        <w:footnoteReference w:id="95"/>
      </w:r>
      <w:r>
        <w:rPr>
          <w:rFonts w:ascii="Arial" w:hAnsi="Arial" w:cs="Arial"/>
          <w:sz w:val="24"/>
          <w:szCs w:val="24"/>
        </w:rPr>
        <w:t xml:space="preserve"> </w:t>
      </w:r>
      <w:r w:rsidRPr="006A045A">
        <w:rPr>
          <w:rFonts w:ascii="Arial" w:hAnsi="Arial" w:cs="Arial"/>
          <w:sz w:val="24"/>
          <w:szCs w:val="24"/>
        </w:rPr>
        <w:t xml:space="preserve">The court was also concerned that Dr. McDermott did not interview any of the mother’s collaterals, including the mother’s doctor.  </w:t>
      </w:r>
      <w:r>
        <w:rPr>
          <w:rFonts w:ascii="Arial" w:hAnsi="Arial" w:cs="Arial"/>
          <w:sz w:val="24"/>
          <w:szCs w:val="24"/>
        </w:rPr>
        <w:t>Given the stakes involved for the parent, t</w:t>
      </w:r>
      <w:r w:rsidRPr="006A045A">
        <w:rPr>
          <w:rFonts w:ascii="Arial" w:hAnsi="Arial" w:cs="Arial"/>
          <w:sz w:val="24"/>
          <w:szCs w:val="24"/>
        </w:rPr>
        <w:t xml:space="preserve">he court essentially found that the process should be </w:t>
      </w:r>
      <w:r>
        <w:rPr>
          <w:rFonts w:ascii="Arial" w:hAnsi="Arial" w:cs="Arial"/>
          <w:sz w:val="24"/>
          <w:szCs w:val="24"/>
        </w:rPr>
        <w:t xml:space="preserve">much </w:t>
      </w:r>
      <w:r w:rsidRPr="006A045A">
        <w:rPr>
          <w:rFonts w:ascii="Arial" w:hAnsi="Arial" w:cs="Arial"/>
          <w:sz w:val="24"/>
          <w:szCs w:val="24"/>
        </w:rPr>
        <w:t xml:space="preserve">more comprehensive </w:t>
      </w:r>
      <w:r>
        <w:rPr>
          <w:rFonts w:ascii="Arial" w:hAnsi="Arial" w:cs="Arial"/>
          <w:sz w:val="24"/>
          <w:szCs w:val="24"/>
        </w:rPr>
        <w:t>with particular attention given to parent collaterals in addition to the Society collaterals</w:t>
      </w:r>
      <w:r w:rsidRPr="006A045A">
        <w:rPr>
          <w:rFonts w:ascii="Arial" w:hAnsi="Arial" w:cs="Arial"/>
          <w:sz w:val="24"/>
          <w:szCs w:val="24"/>
        </w:rPr>
        <w:t xml:space="preserve">. </w:t>
      </w:r>
    </w:p>
    <w:p w14:paraId="4F74A375" w14:textId="397A7721" w:rsidR="008A0943" w:rsidRDefault="00E76239" w:rsidP="008A0943">
      <w:pPr>
        <w:rPr>
          <w:rFonts w:ascii="Arial" w:hAnsi="Arial" w:cs="Arial"/>
          <w:sz w:val="24"/>
          <w:szCs w:val="24"/>
        </w:rPr>
      </w:pPr>
      <w:r w:rsidRPr="006A045A">
        <w:rPr>
          <w:rFonts w:ascii="Arial" w:hAnsi="Arial" w:cs="Arial"/>
          <w:sz w:val="24"/>
          <w:szCs w:val="24"/>
        </w:rPr>
        <w:t xml:space="preserve">The court was </w:t>
      </w:r>
      <w:r w:rsidR="006D3087">
        <w:rPr>
          <w:rFonts w:ascii="Arial" w:hAnsi="Arial" w:cs="Arial"/>
          <w:sz w:val="24"/>
          <w:szCs w:val="24"/>
        </w:rPr>
        <w:t>generally</w:t>
      </w:r>
      <w:r w:rsidRPr="006A045A">
        <w:rPr>
          <w:rFonts w:ascii="Arial" w:hAnsi="Arial" w:cs="Arial"/>
          <w:sz w:val="24"/>
          <w:szCs w:val="24"/>
        </w:rPr>
        <w:t xml:space="preserve"> critical of the fact that the assessor did not seem to understand the legal or forensic context of a child protection proceeding and how it differs from other family court proceedings.</w:t>
      </w:r>
      <w:r>
        <w:rPr>
          <w:rFonts w:ascii="Arial" w:hAnsi="Arial" w:cs="Arial"/>
          <w:sz w:val="24"/>
          <w:szCs w:val="24"/>
        </w:rPr>
        <w:t xml:space="preserve"> The definition of forensic psychology on the College of Psychologists of Ontario</w:t>
      </w:r>
      <w:r w:rsidR="00DE5A32">
        <w:rPr>
          <w:rFonts w:ascii="Arial" w:hAnsi="Arial" w:cs="Arial"/>
          <w:sz w:val="24"/>
          <w:szCs w:val="24"/>
        </w:rPr>
        <w:t>,</w:t>
      </w:r>
      <w:r>
        <w:rPr>
          <w:rFonts w:ascii="Arial" w:hAnsi="Arial" w:cs="Arial"/>
          <w:sz w:val="24"/>
          <w:szCs w:val="24"/>
        </w:rPr>
        <w:t xml:space="preserve"> (which was put to the assessor during cross-examination)</w:t>
      </w:r>
      <w:r w:rsidR="00CE71C7">
        <w:rPr>
          <w:rFonts w:ascii="Arial" w:hAnsi="Arial" w:cs="Arial"/>
          <w:sz w:val="24"/>
          <w:szCs w:val="24"/>
        </w:rPr>
        <w:t>,</w:t>
      </w:r>
      <w:r>
        <w:rPr>
          <w:rFonts w:ascii="Arial" w:hAnsi="Arial" w:cs="Arial"/>
          <w:sz w:val="24"/>
          <w:szCs w:val="24"/>
        </w:rPr>
        <w:t xml:space="preserve"> </w:t>
      </w:r>
      <w:r w:rsidRPr="0053716F">
        <w:rPr>
          <w:rFonts w:ascii="Arial" w:hAnsi="Arial" w:cs="Arial"/>
          <w:sz w:val="24"/>
          <w:szCs w:val="24"/>
        </w:rPr>
        <w:t>is “the application of knowledge about human behaviour to the understanding, assessment, diagnosis and/or treatment of individuals within the context of criminal and/or legal matters”</w:t>
      </w:r>
      <w:r w:rsidR="007C64C0">
        <w:rPr>
          <w:rFonts w:ascii="Arial" w:hAnsi="Arial" w:cs="Arial"/>
          <w:sz w:val="24"/>
          <w:szCs w:val="24"/>
        </w:rPr>
        <w:t>.</w:t>
      </w:r>
      <w:r w:rsidR="007C64C0">
        <w:rPr>
          <w:rStyle w:val="FootnoteReference"/>
          <w:rFonts w:ascii="Arial" w:hAnsi="Arial" w:cs="Arial"/>
          <w:sz w:val="24"/>
          <w:szCs w:val="24"/>
        </w:rPr>
        <w:footnoteReference w:id="96"/>
      </w:r>
      <w:r>
        <w:t xml:space="preserve"> </w:t>
      </w:r>
      <w:r w:rsidRPr="00926A21">
        <w:rPr>
          <w:rFonts w:ascii="Arial" w:hAnsi="Arial" w:cs="Arial"/>
          <w:sz w:val="24"/>
          <w:szCs w:val="24"/>
        </w:rPr>
        <w:t xml:space="preserve">  </w:t>
      </w:r>
    </w:p>
    <w:p w14:paraId="18142EBC" w14:textId="235EBBFF" w:rsidR="00E76239" w:rsidRDefault="00E76239" w:rsidP="008A0943">
      <w:pPr>
        <w:rPr>
          <w:rFonts w:ascii="Arial" w:hAnsi="Arial" w:cs="Arial"/>
          <w:sz w:val="24"/>
          <w:szCs w:val="24"/>
        </w:rPr>
      </w:pPr>
      <w:r w:rsidRPr="00926A21">
        <w:rPr>
          <w:rFonts w:ascii="Arial" w:hAnsi="Arial" w:cs="Arial"/>
          <w:sz w:val="24"/>
          <w:szCs w:val="24"/>
        </w:rPr>
        <w:t xml:space="preserve">The </w:t>
      </w:r>
      <w:r>
        <w:rPr>
          <w:rFonts w:ascii="Arial" w:hAnsi="Arial" w:cs="Arial"/>
          <w:sz w:val="24"/>
          <w:szCs w:val="24"/>
        </w:rPr>
        <w:t xml:space="preserve">court found that the </w:t>
      </w:r>
      <w:r w:rsidRPr="00926A21">
        <w:rPr>
          <w:rFonts w:ascii="Arial" w:hAnsi="Arial" w:cs="Arial"/>
          <w:sz w:val="24"/>
          <w:szCs w:val="24"/>
        </w:rPr>
        <w:t xml:space="preserve">report of the parenting capacity assessor </w:t>
      </w:r>
      <w:r>
        <w:rPr>
          <w:rFonts w:ascii="Arial" w:hAnsi="Arial" w:cs="Arial"/>
          <w:sz w:val="24"/>
          <w:szCs w:val="24"/>
        </w:rPr>
        <w:t xml:space="preserve">failed to meet even the basic threshold reliability requirement under the first stage of the </w:t>
      </w:r>
      <w:r w:rsidRPr="00EC12BB">
        <w:rPr>
          <w:rFonts w:ascii="Arial" w:hAnsi="Arial" w:cs="Arial"/>
          <w:sz w:val="24"/>
          <w:szCs w:val="24"/>
        </w:rPr>
        <w:t>Mohan</w:t>
      </w:r>
      <w:r>
        <w:rPr>
          <w:rFonts w:ascii="Arial" w:hAnsi="Arial" w:cs="Arial"/>
          <w:sz w:val="24"/>
          <w:szCs w:val="24"/>
        </w:rPr>
        <w:t xml:space="preserve"> </w:t>
      </w:r>
      <w:proofErr w:type="gramStart"/>
      <w:r>
        <w:rPr>
          <w:rFonts w:ascii="Arial" w:hAnsi="Arial" w:cs="Arial"/>
          <w:sz w:val="24"/>
          <w:szCs w:val="24"/>
        </w:rPr>
        <w:t>test</w:t>
      </w:r>
      <w:proofErr w:type="gramEnd"/>
      <w:r>
        <w:rPr>
          <w:rFonts w:ascii="Arial" w:hAnsi="Arial" w:cs="Arial"/>
          <w:sz w:val="24"/>
          <w:szCs w:val="24"/>
        </w:rPr>
        <w:t xml:space="preserve"> and it </w:t>
      </w:r>
      <w:r w:rsidRPr="00926A21">
        <w:rPr>
          <w:rFonts w:ascii="Arial" w:hAnsi="Arial" w:cs="Arial"/>
          <w:sz w:val="24"/>
          <w:szCs w:val="24"/>
        </w:rPr>
        <w:t xml:space="preserve">was excluded. </w:t>
      </w:r>
      <w:r>
        <w:rPr>
          <w:rFonts w:ascii="Arial" w:hAnsi="Arial" w:cs="Arial"/>
          <w:sz w:val="24"/>
          <w:szCs w:val="24"/>
        </w:rPr>
        <w:t xml:space="preserve">  The court went on to say that if she was wrong about her application of the first stage of the </w:t>
      </w:r>
      <w:r w:rsidRPr="00D40537">
        <w:rPr>
          <w:rFonts w:ascii="Arial" w:hAnsi="Arial" w:cs="Arial"/>
          <w:sz w:val="24"/>
          <w:szCs w:val="24"/>
        </w:rPr>
        <w:t xml:space="preserve">Mohan </w:t>
      </w:r>
      <w:r>
        <w:rPr>
          <w:rFonts w:ascii="Arial" w:hAnsi="Arial" w:cs="Arial"/>
          <w:sz w:val="24"/>
          <w:szCs w:val="24"/>
        </w:rPr>
        <w:t>test, she would have excluded it under the second stage of the test where the court is required to conduct a cost-benefit analysis.  The court found that the admission of the report would not be beneficial but would, in fact, be “dangerous to the fact-finding process”.</w:t>
      </w:r>
      <w:r w:rsidR="00752806">
        <w:rPr>
          <w:rStyle w:val="FootnoteReference"/>
          <w:rFonts w:ascii="Arial" w:hAnsi="Arial" w:cs="Arial"/>
          <w:sz w:val="24"/>
          <w:szCs w:val="24"/>
        </w:rPr>
        <w:footnoteReference w:id="97"/>
      </w:r>
      <w:r>
        <w:rPr>
          <w:rFonts w:ascii="Arial" w:hAnsi="Arial" w:cs="Arial"/>
          <w:sz w:val="24"/>
          <w:szCs w:val="24"/>
        </w:rPr>
        <w:t xml:space="preserve"> </w:t>
      </w:r>
    </w:p>
    <w:p w14:paraId="14372D1B" w14:textId="1644A410" w:rsidR="00BB506C" w:rsidRPr="006A045A" w:rsidRDefault="00704F5D" w:rsidP="00BB506C">
      <w:pPr>
        <w:spacing w:after="0"/>
        <w:rPr>
          <w:rFonts w:ascii="Arial" w:hAnsi="Arial" w:cs="Arial"/>
          <w:sz w:val="24"/>
          <w:szCs w:val="24"/>
        </w:rPr>
      </w:pPr>
      <w:r>
        <w:rPr>
          <w:rFonts w:ascii="Arial" w:hAnsi="Arial" w:cs="Arial"/>
          <w:sz w:val="24"/>
          <w:szCs w:val="24"/>
        </w:rPr>
        <w:t xml:space="preserve">In </w:t>
      </w:r>
      <w:r w:rsidR="008A0943">
        <w:rPr>
          <w:rFonts w:ascii="Arial" w:hAnsi="Arial" w:cs="Arial"/>
          <w:sz w:val="24"/>
          <w:szCs w:val="24"/>
        </w:rPr>
        <w:t>the</w:t>
      </w:r>
      <w:r w:rsidR="00F23CE1">
        <w:rPr>
          <w:rFonts w:ascii="Arial" w:hAnsi="Arial" w:cs="Arial"/>
          <w:sz w:val="24"/>
          <w:szCs w:val="24"/>
        </w:rPr>
        <w:t xml:space="preserve"> reported</w:t>
      </w:r>
      <w:r>
        <w:rPr>
          <w:rFonts w:ascii="Arial" w:hAnsi="Arial" w:cs="Arial"/>
          <w:sz w:val="24"/>
          <w:szCs w:val="24"/>
        </w:rPr>
        <w:t xml:space="preserve"> decision, t</w:t>
      </w:r>
      <w:r w:rsidR="00BB506C" w:rsidRPr="006A045A">
        <w:rPr>
          <w:rFonts w:ascii="Arial" w:hAnsi="Arial" w:cs="Arial"/>
          <w:sz w:val="24"/>
          <w:szCs w:val="24"/>
        </w:rPr>
        <w:t>h</w:t>
      </w:r>
      <w:r w:rsidR="00BB506C">
        <w:rPr>
          <w:rFonts w:ascii="Arial" w:hAnsi="Arial" w:cs="Arial"/>
          <w:sz w:val="24"/>
          <w:szCs w:val="24"/>
        </w:rPr>
        <w:t xml:space="preserve">e court </w:t>
      </w:r>
      <w:r w:rsidR="00BB506C" w:rsidRPr="006A045A">
        <w:rPr>
          <w:rFonts w:ascii="Arial" w:hAnsi="Arial" w:cs="Arial"/>
          <w:sz w:val="24"/>
          <w:szCs w:val="24"/>
        </w:rPr>
        <w:t>raise</w:t>
      </w:r>
      <w:r>
        <w:rPr>
          <w:rFonts w:ascii="Arial" w:hAnsi="Arial" w:cs="Arial"/>
          <w:sz w:val="24"/>
          <w:szCs w:val="24"/>
        </w:rPr>
        <w:t>d</w:t>
      </w:r>
      <w:r w:rsidR="00BB506C" w:rsidRPr="006A045A">
        <w:rPr>
          <w:rFonts w:ascii="Arial" w:hAnsi="Arial" w:cs="Arial"/>
          <w:sz w:val="24"/>
          <w:szCs w:val="24"/>
        </w:rPr>
        <w:t xml:space="preserve"> serious questions about the failure of the Ontario College of Psychologists </w:t>
      </w:r>
      <w:r w:rsidR="00BB506C">
        <w:rPr>
          <w:rFonts w:ascii="Arial" w:hAnsi="Arial" w:cs="Arial"/>
          <w:sz w:val="24"/>
          <w:szCs w:val="24"/>
        </w:rPr>
        <w:t xml:space="preserve">(the “College”) </w:t>
      </w:r>
      <w:r w:rsidR="00BB506C" w:rsidRPr="006A045A">
        <w:rPr>
          <w:rFonts w:ascii="Arial" w:hAnsi="Arial" w:cs="Arial"/>
          <w:sz w:val="24"/>
          <w:szCs w:val="24"/>
        </w:rPr>
        <w:t>to</w:t>
      </w:r>
      <w:r w:rsidR="00BB506C">
        <w:rPr>
          <w:rFonts w:ascii="Arial" w:hAnsi="Arial" w:cs="Arial"/>
          <w:sz w:val="24"/>
          <w:szCs w:val="24"/>
        </w:rPr>
        <w:t xml:space="preserve"> properly</w:t>
      </w:r>
      <w:r w:rsidR="00BB506C" w:rsidRPr="006A045A">
        <w:rPr>
          <w:rFonts w:ascii="Arial" w:hAnsi="Arial" w:cs="Arial"/>
          <w:sz w:val="24"/>
          <w:szCs w:val="24"/>
        </w:rPr>
        <w:t xml:space="preserve"> regulate this area of practice for their members</w:t>
      </w:r>
      <w:r w:rsidR="00916B26">
        <w:rPr>
          <w:rFonts w:ascii="Arial" w:hAnsi="Arial" w:cs="Arial"/>
          <w:sz w:val="24"/>
          <w:szCs w:val="24"/>
        </w:rPr>
        <w:t>,</w:t>
      </w:r>
      <w:r w:rsidR="00BB506C">
        <w:rPr>
          <w:rFonts w:ascii="Arial" w:hAnsi="Arial" w:cs="Arial"/>
          <w:sz w:val="24"/>
          <w:szCs w:val="24"/>
        </w:rPr>
        <w:t xml:space="preserve"> </w:t>
      </w:r>
      <w:r w:rsidR="00BB506C" w:rsidRPr="006A045A">
        <w:rPr>
          <w:rFonts w:ascii="Arial" w:hAnsi="Arial" w:cs="Arial"/>
          <w:sz w:val="24"/>
          <w:szCs w:val="24"/>
        </w:rPr>
        <w:t xml:space="preserve">which would include </w:t>
      </w:r>
      <w:r w:rsidR="00BB506C">
        <w:rPr>
          <w:rFonts w:ascii="Arial" w:hAnsi="Arial" w:cs="Arial"/>
          <w:sz w:val="24"/>
          <w:szCs w:val="24"/>
        </w:rPr>
        <w:t xml:space="preserve">the provision of </w:t>
      </w:r>
      <w:r w:rsidR="00BB506C" w:rsidRPr="006A045A">
        <w:rPr>
          <w:rFonts w:ascii="Arial" w:hAnsi="Arial" w:cs="Arial"/>
          <w:sz w:val="24"/>
          <w:szCs w:val="24"/>
        </w:rPr>
        <w:t>clear guidance</w:t>
      </w:r>
      <w:r w:rsidR="00BB506C">
        <w:rPr>
          <w:rFonts w:ascii="Arial" w:hAnsi="Arial" w:cs="Arial"/>
          <w:sz w:val="24"/>
          <w:szCs w:val="24"/>
        </w:rPr>
        <w:t xml:space="preserve"> in </w:t>
      </w:r>
      <w:r w:rsidR="00BB506C">
        <w:rPr>
          <w:rFonts w:ascii="Arial" w:hAnsi="Arial" w:cs="Arial"/>
          <w:sz w:val="24"/>
          <w:szCs w:val="24"/>
        </w:rPr>
        <w:lastRenderedPageBreak/>
        <w:t xml:space="preserve">relation to: (1) the training required to engage in this work; </w:t>
      </w:r>
      <w:r w:rsidR="00BB506C" w:rsidRPr="006A045A">
        <w:rPr>
          <w:rFonts w:ascii="Arial" w:hAnsi="Arial" w:cs="Arial"/>
          <w:sz w:val="24"/>
          <w:szCs w:val="24"/>
        </w:rPr>
        <w:t xml:space="preserve">and </w:t>
      </w:r>
      <w:r w:rsidR="00BB506C">
        <w:rPr>
          <w:rFonts w:ascii="Arial" w:hAnsi="Arial" w:cs="Arial"/>
          <w:sz w:val="24"/>
          <w:szCs w:val="24"/>
        </w:rPr>
        <w:t xml:space="preserve">(2) forensic </w:t>
      </w:r>
      <w:r w:rsidR="00BB506C" w:rsidRPr="006A045A">
        <w:rPr>
          <w:rFonts w:ascii="Arial" w:hAnsi="Arial" w:cs="Arial"/>
          <w:sz w:val="24"/>
          <w:szCs w:val="24"/>
        </w:rPr>
        <w:t>standards for the conduct of these important assessments</w:t>
      </w:r>
      <w:r w:rsidR="00BB506C">
        <w:rPr>
          <w:rFonts w:ascii="Arial" w:hAnsi="Arial" w:cs="Arial"/>
          <w:sz w:val="24"/>
          <w:szCs w:val="24"/>
        </w:rPr>
        <w:t xml:space="preserve">.  </w:t>
      </w:r>
    </w:p>
    <w:p w14:paraId="23CA1870" w14:textId="55147C67" w:rsidR="00BB506C" w:rsidRDefault="00BB506C" w:rsidP="00BB506C">
      <w:pPr>
        <w:pStyle w:val="aparanumbering"/>
        <w:spacing w:before="120" w:beforeAutospacing="0" w:after="120" w:afterAutospacing="0"/>
        <w:jc w:val="both"/>
        <w:rPr>
          <w:rFonts w:ascii="Arial" w:hAnsi="Arial" w:cs="Arial"/>
          <w:color w:val="000000"/>
        </w:rPr>
      </w:pPr>
      <w:r>
        <w:rPr>
          <w:rFonts w:ascii="Arial" w:hAnsi="Arial" w:cs="Arial"/>
          <w:color w:val="000000"/>
        </w:rPr>
        <w:t xml:space="preserve">Justice O’Connell makes the following comments at paras 163-165 in </w:t>
      </w:r>
      <w:r w:rsidRPr="00E006D6">
        <w:rPr>
          <w:rFonts w:ascii="Arial" w:hAnsi="Arial" w:cs="Arial"/>
          <w:i/>
          <w:iCs/>
          <w:color w:val="000000"/>
        </w:rPr>
        <w:t>CAST v. A.L</w:t>
      </w:r>
      <w:r>
        <w:rPr>
          <w:rFonts w:ascii="Arial" w:hAnsi="Arial" w:cs="Arial"/>
          <w:color w:val="000000"/>
        </w:rPr>
        <w:t>.:</w:t>
      </w:r>
    </w:p>
    <w:p w14:paraId="1B1839EF" w14:textId="77777777" w:rsidR="00BB506C" w:rsidRPr="007415D8" w:rsidRDefault="00BB506C" w:rsidP="00BB506C">
      <w:pPr>
        <w:pStyle w:val="aparanumbering"/>
        <w:spacing w:before="120" w:beforeAutospacing="0" w:after="120" w:afterAutospacing="0"/>
        <w:ind w:left="720"/>
        <w:jc w:val="both"/>
        <w:rPr>
          <w:rFonts w:ascii="Arial" w:hAnsi="Arial" w:cs="Arial"/>
        </w:rPr>
      </w:pPr>
      <w:r w:rsidRPr="007415D8">
        <w:rPr>
          <w:rFonts w:ascii="Arial" w:hAnsi="Arial" w:cs="Arial"/>
        </w:rPr>
        <w:t xml:space="preserve">[163] In fairness to Dr. McDermott, a significant number of parenting capacity assessors do not see the work they do as forensic in nature, and therein lies the problem. Although the College of Psychologists should be aware of the area of parenting capacity assessments in child protection law, for reasons unknown, the College has never required psychologists who conduct these assessments to be forensically trained, nor have they required the area of parenting capacity assessments to be a regulated area of practice. </w:t>
      </w:r>
    </w:p>
    <w:p w14:paraId="0B7356FA" w14:textId="77777777" w:rsidR="00BB506C" w:rsidRPr="007415D8" w:rsidRDefault="00BB506C" w:rsidP="00BB506C">
      <w:pPr>
        <w:pStyle w:val="aparanumbering"/>
        <w:spacing w:before="120" w:beforeAutospacing="0" w:after="120" w:afterAutospacing="0"/>
        <w:ind w:left="720"/>
        <w:jc w:val="both"/>
        <w:rPr>
          <w:rFonts w:ascii="Arial" w:hAnsi="Arial" w:cs="Arial"/>
        </w:rPr>
      </w:pPr>
      <w:r w:rsidRPr="007415D8">
        <w:rPr>
          <w:rFonts w:ascii="Arial" w:hAnsi="Arial" w:cs="Arial"/>
        </w:rPr>
        <w:t xml:space="preserve">[164] It is concerning that parenting capacity assessments are not strictly regulated by the College given the significant legal implications of these assessments for parents and children in child protection proceedings. </w:t>
      </w:r>
    </w:p>
    <w:p w14:paraId="26478C8B" w14:textId="77777777" w:rsidR="00B513A8" w:rsidRDefault="00BB506C" w:rsidP="00B513A8">
      <w:pPr>
        <w:pStyle w:val="aparanumbering"/>
        <w:spacing w:before="120" w:beforeAutospacing="0" w:after="120" w:afterAutospacing="0"/>
        <w:ind w:left="720"/>
        <w:jc w:val="both"/>
        <w:rPr>
          <w:rFonts w:ascii="Arial" w:hAnsi="Arial" w:cs="Arial"/>
        </w:rPr>
      </w:pPr>
      <w:r w:rsidRPr="007415D8">
        <w:rPr>
          <w:rFonts w:ascii="Arial" w:hAnsi="Arial" w:cs="Arial"/>
        </w:rPr>
        <w:t xml:space="preserve">[165] It is surprising that the College does not require parenting capacity assessors to be authorized to practice </w:t>
      </w:r>
      <w:proofErr w:type="gramStart"/>
      <w:r w:rsidRPr="007415D8">
        <w:rPr>
          <w:rFonts w:ascii="Arial" w:hAnsi="Arial" w:cs="Arial"/>
        </w:rPr>
        <w:t>in the area of</w:t>
      </w:r>
      <w:proofErr w:type="gramEnd"/>
      <w:r w:rsidRPr="007415D8">
        <w:rPr>
          <w:rFonts w:ascii="Arial" w:hAnsi="Arial" w:cs="Arial"/>
        </w:rPr>
        <w:t xml:space="preserve"> forensic psychology, or at a minimum, that the College has not developed clear forensic standards for psychologists when conducting parenting capacity assessments in child protection proceedings, particularly in light of the </w:t>
      </w:r>
      <w:proofErr w:type="spellStart"/>
      <w:r w:rsidRPr="007415D8">
        <w:rPr>
          <w:rFonts w:ascii="Arial" w:hAnsi="Arial" w:cs="Arial"/>
        </w:rPr>
        <w:t>Goudge</w:t>
      </w:r>
      <w:proofErr w:type="spellEnd"/>
      <w:r w:rsidRPr="007415D8">
        <w:rPr>
          <w:rFonts w:ascii="Arial" w:hAnsi="Arial" w:cs="Arial"/>
        </w:rPr>
        <w:t xml:space="preserve"> and </w:t>
      </w:r>
      <w:proofErr w:type="spellStart"/>
      <w:r w:rsidRPr="007415D8">
        <w:rPr>
          <w:rFonts w:ascii="Arial" w:hAnsi="Arial" w:cs="Arial"/>
        </w:rPr>
        <w:t>Motherisk</w:t>
      </w:r>
      <w:proofErr w:type="spellEnd"/>
      <w:r w:rsidRPr="007415D8">
        <w:rPr>
          <w:rFonts w:ascii="Arial" w:hAnsi="Arial" w:cs="Arial"/>
        </w:rPr>
        <w:t xml:space="preserve"> inquiries. </w:t>
      </w:r>
    </w:p>
    <w:p w14:paraId="62DC5D6E" w14:textId="660699CF" w:rsidR="00BB506C" w:rsidRPr="007415D8" w:rsidRDefault="00BB506C" w:rsidP="00B513A8">
      <w:pPr>
        <w:pStyle w:val="aparanumbering"/>
        <w:spacing w:before="120" w:beforeAutospacing="0" w:after="120" w:afterAutospacing="0"/>
        <w:ind w:left="720"/>
        <w:jc w:val="both"/>
        <w:rPr>
          <w:rFonts w:ascii="Arial" w:hAnsi="Arial" w:cs="Arial"/>
        </w:rPr>
      </w:pPr>
      <w:r w:rsidRPr="007415D8">
        <w:rPr>
          <w:rFonts w:ascii="Arial" w:hAnsi="Arial" w:cs="Arial"/>
        </w:rPr>
        <w:t xml:space="preserve"> </w:t>
      </w:r>
    </w:p>
    <w:p w14:paraId="70AEE02E" w14:textId="33B6235E" w:rsidR="00F23CE1" w:rsidRPr="005B50DF" w:rsidRDefault="005B50DF" w:rsidP="00B513A8">
      <w:pPr>
        <w:pStyle w:val="aparanumbering"/>
        <w:spacing w:before="120" w:beforeAutospacing="0" w:after="120" w:afterAutospacing="0"/>
        <w:jc w:val="both"/>
        <w:rPr>
          <w:rFonts w:ascii="Arial" w:hAnsi="Arial" w:cs="Arial"/>
          <w:b/>
          <w:bCs/>
          <w:color w:val="000000"/>
        </w:rPr>
      </w:pPr>
      <w:r w:rsidRPr="005B50DF">
        <w:rPr>
          <w:rFonts w:ascii="Arial" w:hAnsi="Arial" w:cs="Arial"/>
          <w:b/>
          <w:bCs/>
          <w:color w:val="000000"/>
        </w:rPr>
        <w:t>Lack of Regulation by the Ontario College of Psychologists</w:t>
      </w:r>
    </w:p>
    <w:p w14:paraId="3AF93009" w14:textId="2B729118" w:rsidR="00BB506C" w:rsidRDefault="00422B24" w:rsidP="00B513A8">
      <w:pPr>
        <w:pStyle w:val="aparanumbering"/>
        <w:spacing w:before="120" w:beforeAutospacing="0" w:after="120" w:afterAutospacing="0"/>
        <w:jc w:val="both"/>
        <w:rPr>
          <w:rFonts w:ascii="Arial" w:hAnsi="Arial" w:cs="Arial"/>
          <w:color w:val="000000"/>
        </w:rPr>
      </w:pPr>
      <w:r>
        <w:rPr>
          <w:rFonts w:ascii="Arial" w:hAnsi="Arial" w:cs="Arial"/>
          <w:color w:val="000000"/>
        </w:rPr>
        <w:t>A review of the Ontario College of Psychologists website reveals that t</w:t>
      </w:r>
      <w:r w:rsidR="00BB506C">
        <w:rPr>
          <w:rFonts w:ascii="Arial" w:hAnsi="Arial" w:cs="Arial"/>
          <w:color w:val="000000"/>
        </w:rPr>
        <w:t xml:space="preserve">he College </w:t>
      </w:r>
      <w:r w:rsidR="0001718D">
        <w:rPr>
          <w:rFonts w:ascii="Arial" w:hAnsi="Arial" w:cs="Arial"/>
          <w:color w:val="000000"/>
        </w:rPr>
        <w:t>has</w:t>
      </w:r>
      <w:r w:rsidR="00BB506C">
        <w:rPr>
          <w:rFonts w:ascii="Arial" w:hAnsi="Arial" w:cs="Arial"/>
          <w:color w:val="000000"/>
        </w:rPr>
        <w:t xml:space="preserve"> </w:t>
      </w:r>
      <w:r w:rsidR="00B24C34">
        <w:rPr>
          <w:rFonts w:ascii="Arial" w:hAnsi="Arial" w:cs="Arial"/>
          <w:color w:val="000000"/>
        </w:rPr>
        <w:t xml:space="preserve">posted </w:t>
      </w:r>
      <w:r w:rsidR="00BB506C">
        <w:rPr>
          <w:rFonts w:ascii="Arial" w:hAnsi="Arial" w:cs="Arial"/>
          <w:color w:val="000000"/>
        </w:rPr>
        <w:t xml:space="preserve">a </w:t>
      </w:r>
      <w:proofErr w:type="gramStart"/>
      <w:r w:rsidR="00BB506C">
        <w:rPr>
          <w:rFonts w:ascii="Arial" w:hAnsi="Arial" w:cs="Arial"/>
          <w:color w:val="000000"/>
        </w:rPr>
        <w:t>12 page</w:t>
      </w:r>
      <w:proofErr w:type="gramEnd"/>
      <w:r w:rsidR="00BB506C">
        <w:rPr>
          <w:rFonts w:ascii="Arial" w:hAnsi="Arial" w:cs="Arial"/>
          <w:color w:val="000000"/>
        </w:rPr>
        <w:t xml:space="preserve"> Task Force Report from 2014 that provide</w:t>
      </w:r>
      <w:r w:rsidR="00B24C34">
        <w:rPr>
          <w:rFonts w:ascii="Arial" w:hAnsi="Arial" w:cs="Arial"/>
          <w:color w:val="000000"/>
        </w:rPr>
        <w:t>s</w:t>
      </w:r>
      <w:r w:rsidR="00BB506C">
        <w:rPr>
          <w:rFonts w:ascii="Arial" w:hAnsi="Arial" w:cs="Arial"/>
          <w:color w:val="000000"/>
        </w:rPr>
        <w:t xml:space="preserve"> some guidelines for members who are providing assessment reports within the family law context.  Unfortunately, it is quite general in nature, it fails to outline any particular methodology for its members to follow</w:t>
      </w:r>
      <w:r w:rsidR="00B50A5C">
        <w:rPr>
          <w:rFonts w:ascii="Arial" w:hAnsi="Arial" w:cs="Arial"/>
          <w:color w:val="000000"/>
        </w:rPr>
        <w:t>,</w:t>
      </w:r>
      <w:r w:rsidR="00BB506C">
        <w:rPr>
          <w:rFonts w:ascii="Arial" w:hAnsi="Arial" w:cs="Arial"/>
          <w:color w:val="000000"/>
        </w:rPr>
        <w:t xml:space="preserve"> and it does not reference the forensic context within which these assessments are conducted and evaluated by the courts.  It also does not differentiate in any meaningful way between the child protection context and other family law matters.</w:t>
      </w:r>
      <w:r w:rsidR="00021F83">
        <w:rPr>
          <w:rStyle w:val="FootnoteReference"/>
          <w:rFonts w:ascii="Arial" w:hAnsi="Arial" w:cs="Arial"/>
          <w:color w:val="000000"/>
        </w:rPr>
        <w:footnoteReference w:id="98"/>
      </w:r>
      <w:r w:rsidR="00BB506C">
        <w:rPr>
          <w:rFonts w:ascii="Arial" w:hAnsi="Arial" w:cs="Arial"/>
          <w:color w:val="000000"/>
        </w:rPr>
        <w:t xml:space="preserve"> </w:t>
      </w:r>
    </w:p>
    <w:p w14:paraId="04B49267" w14:textId="5AF4DC59" w:rsidR="00BB506C" w:rsidRPr="006A045A" w:rsidRDefault="00B50A5C" w:rsidP="00BB506C">
      <w:pPr>
        <w:pStyle w:val="aparanumbering"/>
        <w:spacing w:before="120" w:beforeAutospacing="0" w:after="120" w:afterAutospacing="0"/>
        <w:jc w:val="both"/>
        <w:rPr>
          <w:rFonts w:ascii="Arial" w:hAnsi="Arial" w:cs="Arial"/>
          <w:color w:val="000000"/>
        </w:rPr>
      </w:pPr>
      <w:r>
        <w:rPr>
          <w:rFonts w:ascii="Arial" w:hAnsi="Arial" w:cs="Arial"/>
          <w:color w:val="000000"/>
        </w:rPr>
        <w:t xml:space="preserve">In contrast, </w:t>
      </w:r>
      <w:r w:rsidR="00BB506C">
        <w:rPr>
          <w:rFonts w:ascii="Arial" w:hAnsi="Arial" w:cs="Arial"/>
          <w:color w:val="000000"/>
        </w:rPr>
        <w:t>t</w:t>
      </w:r>
      <w:r w:rsidR="00BB506C" w:rsidRPr="006A045A">
        <w:rPr>
          <w:rFonts w:ascii="Arial" w:hAnsi="Arial" w:cs="Arial"/>
          <w:color w:val="000000"/>
        </w:rPr>
        <w:t xml:space="preserve">he American Psychological Association </w:t>
      </w:r>
      <w:r w:rsidR="00BB506C">
        <w:rPr>
          <w:rFonts w:ascii="Arial" w:hAnsi="Arial" w:cs="Arial"/>
          <w:color w:val="000000"/>
        </w:rPr>
        <w:t xml:space="preserve">(“APA”) </w:t>
      </w:r>
      <w:r w:rsidR="00BB506C" w:rsidRPr="006A045A">
        <w:rPr>
          <w:rFonts w:ascii="Arial" w:hAnsi="Arial" w:cs="Arial"/>
          <w:color w:val="000000"/>
        </w:rPr>
        <w:t xml:space="preserve">has </w:t>
      </w:r>
      <w:r w:rsidR="00BB506C">
        <w:rPr>
          <w:rFonts w:ascii="Arial" w:hAnsi="Arial" w:cs="Arial"/>
          <w:color w:val="000000"/>
        </w:rPr>
        <w:t xml:space="preserve">specific </w:t>
      </w:r>
      <w:r w:rsidR="00DF33B7">
        <w:rPr>
          <w:rFonts w:ascii="Arial" w:hAnsi="Arial" w:cs="Arial"/>
          <w:color w:val="000000"/>
        </w:rPr>
        <w:t xml:space="preserve">and detailed </w:t>
      </w:r>
      <w:r w:rsidR="00BB506C" w:rsidRPr="006A045A">
        <w:rPr>
          <w:rFonts w:ascii="Arial" w:hAnsi="Arial" w:cs="Arial"/>
          <w:color w:val="000000"/>
        </w:rPr>
        <w:t>guidelines</w:t>
      </w:r>
      <w:r w:rsidR="00BB506C">
        <w:rPr>
          <w:rFonts w:ascii="Arial" w:hAnsi="Arial" w:cs="Arial"/>
          <w:color w:val="000000"/>
        </w:rPr>
        <w:t xml:space="preserve"> on their website</w:t>
      </w:r>
      <w:r w:rsidR="00BB506C" w:rsidRPr="006A045A">
        <w:rPr>
          <w:rFonts w:ascii="Arial" w:hAnsi="Arial" w:cs="Arial"/>
          <w:color w:val="000000"/>
        </w:rPr>
        <w:t xml:space="preserve"> for the conduct of </w:t>
      </w:r>
      <w:r w:rsidR="00BB506C">
        <w:rPr>
          <w:rFonts w:ascii="Arial" w:hAnsi="Arial" w:cs="Arial"/>
          <w:color w:val="000000"/>
        </w:rPr>
        <w:t xml:space="preserve">psychological assessments of families and individuals within the child protection context.  </w:t>
      </w:r>
      <w:r w:rsidR="00BB506C" w:rsidRPr="006A045A">
        <w:rPr>
          <w:rFonts w:ascii="Arial" w:hAnsi="Arial" w:cs="Arial"/>
          <w:color w:val="000000"/>
        </w:rPr>
        <w:t xml:space="preserve">As well, this type of work is classified </w:t>
      </w:r>
      <w:r w:rsidR="00BB506C">
        <w:rPr>
          <w:rFonts w:ascii="Arial" w:hAnsi="Arial" w:cs="Arial"/>
          <w:color w:val="000000"/>
        </w:rPr>
        <w:t xml:space="preserve">on the APA website as </w:t>
      </w:r>
      <w:r w:rsidR="003D660C">
        <w:rPr>
          <w:rFonts w:ascii="Arial" w:hAnsi="Arial" w:cs="Arial"/>
          <w:color w:val="000000"/>
        </w:rPr>
        <w:t>falling</w:t>
      </w:r>
      <w:r w:rsidR="00BB506C">
        <w:rPr>
          <w:rFonts w:ascii="Arial" w:hAnsi="Arial" w:cs="Arial"/>
          <w:color w:val="000000"/>
        </w:rPr>
        <w:t xml:space="preserve"> within the realm of </w:t>
      </w:r>
      <w:r w:rsidR="00BB506C" w:rsidRPr="006A045A">
        <w:rPr>
          <w:rFonts w:ascii="Arial" w:hAnsi="Arial" w:cs="Arial"/>
          <w:color w:val="000000"/>
        </w:rPr>
        <w:t>“forensic psychology”</w:t>
      </w:r>
      <w:r w:rsidR="00BB506C">
        <w:rPr>
          <w:rFonts w:ascii="Arial" w:hAnsi="Arial" w:cs="Arial"/>
          <w:color w:val="000000"/>
        </w:rPr>
        <w:t>.</w:t>
      </w:r>
      <w:r w:rsidR="00DF33B7">
        <w:rPr>
          <w:rStyle w:val="FootnoteReference"/>
          <w:rFonts w:ascii="Arial" w:hAnsi="Arial" w:cs="Arial"/>
          <w:color w:val="000000"/>
        </w:rPr>
        <w:footnoteReference w:id="99"/>
      </w:r>
      <w:r w:rsidR="00BB506C">
        <w:rPr>
          <w:rFonts w:ascii="Arial" w:hAnsi="Arial" w:cs="Arial"/>
          <w:color w:val="000000"/>
        </w:rPr>
        <w:t xml:space="preserve"> </w:t>
      </w:r>
      <w:r w:rsidR="00BB506C" w:rsidRPr="006A045A">
        <w:rPr>
          <w:rFonts w:ascii="Arial" w:hAnsi="Arial" w:cs="Arial"/>
          <w:color w:val="000000"/>
        </w:rPr>
        <w:t xml:space="preserve"> </w:t>
      </w:r>
    </w:p>
    <w:p w14:paraId="58C3A23D" w14:textId="681754E0" w:rsidR="00351DCE" w:rsidRDefault="00351DCE" w:rsidP="00BB506C">
      <w:pPr>
        <w:pStyle w:val="aparanumbering"/>
        <w:spacing w:before="120" w:beforeAutospacing="0" w:after="120" w:afterAutospacing="0"/>
        <w:jc w:val="both"/>
        <w:rPr>
          <w:rFonts w:ascii="Arial" w:hAnsi="Arial" w:cs="Arial"/>
          <w:b/>
          <w:bCs/>
          <w:color w:val="000000"/>
        </w:rPr>
      </w:pPr>
    </w:p>
    <w:p w14:paraId="73697CF5" w14:textId="2A995E4E" w:rsidR="004020A0" w:rsidRPr="002E2D09" w:rsidRDefault="002E2D09" w:rsidP="00BB506C">
      <w:pPr>
        <w:pStyle w:val="aparanumbering"/>
        <w:spacing w:before="120" w:beforeAutospacing="0" w:after="120" w:afterAutospacing="0"/>
        <w:jc w:val="both"/>
        <w:rPr>
          <w:rFonts w:ascii="Arial" w:hAnsi="Arial" w:cs="Arial"/>
          <w:b/>
          <w:bCs/>
          <w:color w:val="000000"/>
        </w:rPr>
      </w:pPr>
      <w:r>
        <w:rPr>
          <w:rFonts w:ascii="Arial" w:hAnsi="Arial" w:cs="Arial"/>
          <w:b/>
          <w:bCs/>
          <w:color w:val="000000"/>
        </w:rPr>
        <w:t xml:space="preserve">Critique </w:t>
      </w:r>
      <w:r w:rsidR="003D1217">
        <w:rPr>
          <w:rFonts w:ascii="Arial" w:hAnsi="Arial" w:cs="Arial"/>
          <w:b/>
          <w:bCs/>
          <w:color w:val="000000"/>
        </w:rPr>
        <w:t>Reports</w:t>
      </w:r>
    </w:p>
    <w:p w14:paraId="745FD165" w14:textId="2AAA316C" w:rsidR="00C87B0D" w:rsidRDefault="00793CC1" w:rsidP="007D2931">
      <w:pPr>
        <w:spacing w:after="0" w:line="240" w:lineRule="auto"/>
        <w:rPr>
          <w:rFonts w:ascii="Arial" w:hAnsi="Arial" w:cs="Arial"/>
          <w:color w:val="000000"/>
          <w:sz w:val="24"/>
          <w:szCs w:val="24"/>
        </w:rPr>
      </w:pPr>
      <w:r>
        <w:rPr>
          <w:rFonts w:ascii="Arial" w:hAnsi="Arial" w:cs="Arial"/>
          <w:color w:val="000000"/>
          <w:sz w:val="24"/>
          <w:szCs w:val="24"/>
        </w:rPr>
        <w:t xml:space="preserve">Critique evidence also played a </w:t>
      </w:r>
      <w:r w:rsidR="0039306A">
        <w:rPr>
          <w:rFonts w:ascii="Arial" w:hAnsi="Arial" w:cs="Arial"/>
          <w:color w:val="000000"/>
          <w:sz w:val="24"/>
          <w:szCs w:val="24"/>
        </w:rPr>
        <w:t xml:space="preserve">prominent role in </w:t>
      </w:r>
      <w:r w:rsidR="007734B5">
        <w:rPr>
          <w:rFonts w:ascii="Arial" w:hAnsi="Arial" w:cs="Arial"/>
          <w:color w:val="000000"/>
          <w:sz w:val="24"/>
          <w:szCs w:val="24"/>
        </w:rPr>
        <w:t>a 2015 case</w:t>
      </w:r>
      <w:r w:rsidR="00776D1E">
        <w:rPr>
          <w:rFonts w:ascii="Arial" w:hAnsi="Arial" w:cs="Arial"/>
          <w:color w:val="000000"/>
          <w:sz w:val="24"/>
          <w:szCs w:val="24"/>
        </w:rPr>
        <w:t xml:space="preserve">, </w:t>
      </w:r>
      <w:r w:rsidR="00776D1E" w:rsidRPr="00BC59AD">
        <w:rPr>
          <w:rFonts w:ascii="Arial" w:hAnsi="Arial" w:cs="Arial"/>
          <w:i/>
          <w:iCs/>
          <w:color w:val="000000"/>
          <w:sz w:val="24"/>
          <w:szCs w:val="24"/>
        </w:rPr>
        <w:t>The Children’s Aid Society, Region of Halton and A.W. and G</w:t>
      </w:r>
      <w:r w:rsidR="008E71A4" w:rsidRPr="00BC59AD">
        <w:rPr>
          <w:rFonts w:ascii="Arial" w:hAnsi="Arial" w:cs="Arial"/>
          <w:i/>
          <w:iCs/>
          <w:color w:val="000000"/>
          <w:sz w:val="24"/>
          <w:szCs w:val="24"/>
        </w:rPr>
        <w:t>.K.W</w:t>
      </w:r>
      <w:r w:rsidR="008E71A4">
        <w:rPr>
          <w:rFonts w:ascii="Arial" w:hAnsi="Arial" w:cs="Arial"/>
          <w:color w:val="000000"/>
          <w:sz w:val="24"/>
          <w:szCs w:val="24"/>
        </w:rPr>
        <w:t>.</w:t>
      </w:r>
      <w:r w:rsidR="008E71A4">
        <w:rPr>
          <w:rStyle w:val="FootnoteReference"/>
          <w:rFonts w:ascii="Arial" w:hAnsi="Arial" w:cs="Arial"/>
          <w:color w:val="000000"/>
          <w:sz w:val="24"/>
          <w:szCs w:val="24"/>
        </w:rPr>
        <w:footnoteReference w:id="100"/>
      </w:r>
      <w:r>
        <w:rPr>
          <w:rFonts w:ascii="Arial" w:hAnsi="Arial" w:cs="Arial"/>
          <w:color w:val="000000"/>
          <w:sz w:val="24"/>
          <w:szCs w:val="24"/>
        </w:rPr>
        <w:t xml:space="preserve"> </w:t>
      </w:r>
      <w:r w:rsidR="00BC59AD">
        <w:rPr>
          <w:rFonts w:ascii="Arial" w:hAnsi="Arial" w:cs="Arial"/>
          <w:color w:val="000000"/>
          <w:sz w:val="24"/>
          <w:szCs w:val="24"/>
        </w:rPr>
        <w:t>In th</w:t>
      </w:r>
      <w:r w:rsidR="00B938AD">
        <w:rPr>
          <w:rFonts w:ascii="Arial" w:hAnsi="Arial" w:cs="Arial"/>
          <w:color w:val="000000"/>
          <w:sz w:val="24"/>
          <w:szCs w:val="24"/>
        </w:rPr>
        <w:t>is</w:t>
      </w:r>
      <w:r w:rsidR="00BC59AD">
        <w:rPr>
          <w:rFonts w:ascii="Arial" w:hAnsi="Arial" w:cs="Arial"/>
          <w:color w:val="000000"/>
          <w:sz w:val="24"/>
          <w:szCs w:val="24"/>
        </w:rPr>
        <w:t xml:space="preserve"> case, </w:t>
      </w:r>
      <w:r w:rsidR="009E28E0">
        <w:rPr>
          <w:rFonts w:ascii="Arial" w:hAnsi="Arial" w:cs="Arial"/>
          <w:color w:val="000000"/>
          <w:sz w:val="24"/>
          <w:szCs w:val="24"/>
        </w:rPr>
        <w:t xml:space="preserve">a critique assessor </w:t>
      </w:r>
      <w:r w:rsidR="00F339A8">
        <w:rPr>
          <w:rFonts w:ascii="Arial" w:hAnsi="Arial" w:cs="Arial"/>
          <w:color w:val="000000"/>
          <w:sz w:val="24"/>
          <w:szCs w:val="24"/>
        </w:rPr>
        <w:t xml:space="preserve">who </w:t>
      </w:r>
      <w:r w:rsidR="00F339A8">
        <w:rPr>
          <w:rFonts w:ascii="Arial" w:hAnsi="Arial" w:cs="Arial"/>
          <w:color w:val="000000"/>
          <w:sz w:val="24"/>
          <w:szCs w:val="24"/>
        </w:rPr>
        <w:lastRenderedPageBreak/>
        <w:t xml:space="preserve">reviewed the </w:t>
      </w:r>
      <w:r w:rsidR="004C6595">
        <w:rPr>
          <w:rFonts w:ascii="Arial" w:hAnsi="Arial" w:cs="Arial"/>
          <w:color w:val="000000"/>
          <w:sz w:val="24"/>
          <w:szCs w:val="24"/>
        </w:rPr>
        <w:t xml:space="preserve">first assessor’s </w:t>
      </w:r>
      <w:r w:rsidR="00F339A8">
        <w:rPr>
          <w:rFonts w:ascii="Arial" w:hAnsi="Arial" w:cs="Arial"/>
          <w:color w:val="000000"/>
          <w:sz w:val="24"/>
          <w:szCs w:val="24"/>
        </w:rPr>
        <w:t xml:space="preserve">report but did not </w:t>
      </w:r>
      <w:r w:rsidR="00AA65F9">
        <w:rPr>
          <w:rFonts w:ascii="Arial" w:hAnsi="Arial" w:cs="Arial"/>
          <w:color w:val="000000"/>
          <w:sz w:val="24"/>
          <w:szCs w:val="24"/>
        </w:rPr>
        <w:t xml:space="preserve">meet the parents or children, </w:t>
      </w:r>
      <w:r w:rsidR="009E28E0">
        <w:rPr>
          <w:rFonts w:ascii="Arial" w:hAnsi="Arial" w:cs="Arial"/>
          <w:color w:val="000000"/>
          <w:sz w:val="24"/>
          <w:szCs w:val="24"/>
        </w:rPr>
        <w:t xml:space="preserve">described the </w:t>
      </w:r>
      <w:r w:rsidR="00BE07CB">
        <w:rPr>
          <w:rFonts w:ascii="Arial" w:hAnsi="Arial" w:cs="Arial"/>
          <w:color w:val="000000"/>
          <w:sz w:val="24"/>
          <w:szCs w:val="24"/>
        </w:rPr>
        <w:t xml:space="preserve">parenting capacity </w:t>
      </w:r>
      <w:r w:rsidR="00653658">
        <w:rPr>
          <w:rFonts w:ascii="Arial" w:hAnsi="Arial" w:cs="Arial"/>
          <w:color w:val="000000"/>
          <w:sz w:val="24"/>
          <w:szCs w:val="24"/>
        </w:rPr>
        <w:t>assessor’s report as “</w:t>
      </w:r>
      <w:r w:rsidR="00E06FB2">
        <w:rPr>
          <w:rFonts w:ascii="Arial" w:hAnsi="Arial" w:cs="Arial"/>
          <w:color w:val="000000"/>
          <w:sz w:val="24"/>
          <w:szCs w:val="24"/>
        </w:rPr>
        <w:t>m</w:t>
      </w:r>
      <w:r w:rsidR="00653658">
        <w:rPr>
          <w:rFonts w:ascii="Arial" w:hAnsi="Arial" w:cs="Arial"/>
          <w:color w:val="000000"/>
          <w:sz w:val="24"/>
          <w:szCs w:val="24"/>
        </w:rPr>
        <w:t>ore in the nature of a general psychological assessment rather than</w:t>
      </w:r>
      <w:r w:rsidR="00515E91">
        <w:rPr>
          <w:rFonts w:ascii="Arial" w:hAnsi="Arial" w:cs="Arial"/>
          <w:color w:val="000000"/>
          <w:sz w:val="24"/>
          <w:szCs w:val="24"/>
        </w:rPr>
        <w:t xml:space="preserve"> a parenting capacity </w:t>
      </w:r>
      <w:r w:rsidR="00C53E52">
        <w:rPr>
          <w:rFonts w:ascii="Arial" w:hAnsi="Arial" w:cs="Arial"/>
          <w:color w:val="000000"/>
          <w:sz w:val="24"/>
          <w:szCs w:val="24"/>
        </w:rPr>
        <w:t>assessment.</w:t>
      </w:r>
      <w:r w:rsidR="00044796">
        <w:rPr>
          <w:rFonts w:ascii="Arial" w:hAnsi="Arial" w:cs="Arial"/>
          <w:color w:val="000000"/>
          <w:sz w:val="24"/>
          <w:szCs w:val="24"/>
        </w:rPr>
        <w:t>”</w:t>
      </w:r>
      <w:r w:rsidR="00C53E52">
        <w:rPr>
          <w:rStyle w:val="FootnoteReference"/>
          <w:rFonts w:ascii="Arial" w:hAnsi="Arial" w:cs="Arial"/>
          <w:color w:val="000000"/>
          <w:sz w:val="24"/>
          <w:szCs w:val="24"/>
        </w:rPr>
        <w:footnoteReference w:id="101"/>
      </w:r>
      <w:r w:rsidR="00C53E52">
        <w:rPr>
          <w:rFonts w:ascii="Arial" w:hAnsi="Arial" w:cs="Arial"/>
          <w:color w:val="000000"/>
          <w:sz w:val="24"/>
          <w:szCs w:val="24"/>
        </w:rPr>
        <w:t xml:space="preserve"> </w:t>
      </w:r>
      <w:r w:rsidR="00E06FB2">
        <w:rPr>
          <w:rFonts w:ascii="Arial" w:hAnsi="Arial" w:cs="Arial"/>
          <w:color w:val="000000"/>
          <w:sz w:val="24"/>
          <w:szCs w:val="24"/>
        </w:rPr>
        <w:t xml:space="preserve"> </w:t>
      </w:r>
      <w:r w:rsidR="00493546">
        <w:rPr>
          <w:rFonts w:ascii="Arial" w:hAnsi="Arial" w:cs="Arial"/>
          <w:color w:val="000000"/>
          <w:sz w:val="24"/>
          <w:szCs w:val="24"/>
        </w:rPr>
        <w:t>The assessor in that case was also criticized for making a recommendation about the ultimate disposition issue before the court when he was not asked to do so</w:t>
      </w:r>
      <w:r w:rsidR="00086EA3">
        <w:rPr>
          <w:rFonts w:ascii="Arial" w:hAnsi="Arial" w:cs="Arial"/>
          <w:color w:val="000000"/>
          <w:sz w:val="24"/>
          <w:szCs w:val="24"/>
        </w:rPr>
        <w:t>,</w:t>
      </w:r>
      <w:r w:rsidR="00493546">
        <w:rPr>
          <w:rFonts w:ascii="Arial" w:hAnsi="Arial" w:cs="Arial"/>
          <w:color w:val="000000"/>
          <w:sz w:val="24"/>
          <w:szCs w:val="24"/>
        </w:rPr>
        <w:t xml:space="preserve"> for failing </w:t>
      </w:r>
      <w:r w:rsidR="00E60408">
        <w:rPr>
          <w:rFonts w:ascii="Arial" w:hAnsi="Arial" w:cs="Arial"/>
          <w:color w:val="000000"/>
          <w:sz w:val="24"/>
          <w:szCs w:val="24"/>
        </w:rPr>
        <w:t>to use up to date psychological assessment instruments</w:t>
      </w:r>
      <w:r w:rsidR="00434A7D">
        <w:rPr>
          <w:rFonts w:ascii="Arial" w:hAnsi="Arial" w:cs="Arial"/>
          <w:color w:val="000000"/>
          <w:sz w:val="24"/>
          <w:szCs w:val="24"/>
        </w:rPr>
        <w:t>,</w:t>
      </w:r>
      <w:r w:rsidR="00E60408">
        <w:rPr>
          <w:rFonts w:ascii="Arial" w:hAnsi="Arial" w:cs="Arial"/>
          <w:color w:val="000000"/>
          <w:sz w:val="24"/>
          <w:szCs w:val="24"/>
        </w:rPr>
        <w:t xml:space="preserve"> and for failing to </w:t>
      </w:r>
      <w:r w:rsidR="00AB3188">
        <w:rPr>
          <w:rFonts w:ascii="Arial" w:hAnsi="Arial" w:cs="Arial"/>
          <w:color w:val="000000"/>
          <w:sz w:val="24"/>
          <w:szCs w:val="24"/>
        </w:rPr>
        <w:t>interview</w:t>
      </w:r>
      <w:r w:rsidR="00E60408">
        <w:rPr>
          <w:rFonts w:ascii="Arial" w:hAnsi="Arial" w:cs="Arial"/>
          <w:color w:val="000000"/>
          <w:sz w:val="24"/>
          <w:szCs w:val="24"/>
        </w:rPr>
        <w:t xml:space="preserve"> </w:t>
      </w:r>
      <w:r w:rsidR="00086EA3">
        <w:rPr>
          <w:rFonts w:ascii="Arial" w:hAnsi="Arial" w:cs="Arial"/>
          <w:color w:val="000000"/>
          <w:sz w:val="24"/>
          <w:szCs w:val="24"/>
        </w:rPr>
        <w:t>any collaterals for the mother.</w:t>
      </w:r>
      <w:r w:rsidR="00086EA3">
        <w:rPr>
          <w:rStyle w:val="FootnoteReference"/>
          <w:rFonts w:ascii="Arial" w:hAnsi="Arial" w:cs="Arial"/>
          <w:color w:val="000000"/>
          <w:sz w:val="24"/>
          <w:szCs w:val="24"/>
        </w:rPr>
        <w:footnoteReference w:id="102"/>
      </w:r>
      <w:r w:rsidR="005D5B6D">
        <w:rPr>
          <w:rFonts w:ascii="Arial" w:hAnsi="Arial" w:cs="Arial"/>
          <w:color w:val="000000"/>
          <w:sz w:val="24"/>
          <w:szCs w:val="24"/>
        </w:rPr>
        <w:t xml:space="preserve"> </w:t>
      </w:r>
      <w:r w:rsidR="00D14B5E">
        <w:rPr>
          <w:rFonts w:ascii="Arial" w:hAnsi="Arial" w:cs="Arial"/>
          <w:color w:val="000000"/>
          <w:sz w:val="24"/>
          <w:szCs w:val="24"/>
        </w:rPr>
        <w:t xml:space="preserve">He also failed to  </w:t>
      </w:r>
      <w:r w:rsidR="00327823">
        <w:rPr>
          <w:rFonts w:ascii="Arial" w:hAnsi="Arial" w:cs="Arial"/>
          <w:color w:val="000000"/>
          <w:sz w:val="24"/>
          <w:szCs w:val="24"/>
        </w:rPr>
        <w:t xml:space="preserve">take a comprehensive history from the mother. </w:t>
      </w:r>
      <w:r w:rsidR="005D5B6D">
        <w:rPr>
          <w:rFonts w:ascii="Arial" w:hAnsi="Arial" w:cs="Arial"/>
          <w:color w:val="000000"/>
          <w:sz w:val="24"/>
          <w:szCs w:val="24"/>
        </w:rPr>
        <w:t xml:space="preserve">This </w:t>
      </w:r>
      <w:proofErr w:type="gramStart"/>
      <w:r w:rsidR="00327823">
        <w:rPr>
          <w:rFonts w:ascii="Arial" w:hAnsi="Arial" w:cs="Arial"/>
          <w:color w:val="000000"/>
          <w:sz w:val="24"/>
          <w:szCs w:val="24"/>
        </w:rPr>
        <w:t xml:space="preserve">particular </w:t>
      </w:r>
      <w:r w:rsidR="005D5B6D">
        <w:rPr>
          <w:rFonts w:ascii="Arial" w:hAnsi="Arial" w:cs="Arial"/>
          <w:color w:val="000000"/>
          <w:sz w:val="24"/>
          <w:szCs w:val="24"/>
        </w:rPr>
        <w:t>assessor</w:t>
      </w:r>
      <w:proofErr w:type="gramEnd"/>
      <w:r w:rsidR="005D5B6D">
        <w:rPr>
          <w:rFonts w:ascii="Arial" w:hAnsi="Arial" w:cs="Arial"/>
          <w:color w:val="000000"/>
          <w:sz w:val="24"/>
          <w:szCs w:val="24"/>
        </w:rPr>
        <w:t xml:space="preserve"> had been a </w:t>
      </w:r>
      <w:r w:rsidR="00611A95">
        <w:rPr>
          <w:rFonts w:ascii="Arial" w:hAnsi="Arial" w:cs="Arial"/>
          <w:color w:val="000000"/>
          <w:sz w:val="24"/>
          <w:szCs w:val="24"/>
        </w:rPr>
        <w:t>licensed psychologist for 37 years and gave evidence that he had conducted</w:t>
      </w:r>
      <w:r w:rsidR="00FD68A5">
        <w:rPr>
          <w:rFonts w:ascii="Arial" w:hAnsi="Arial" w:cs="Arial"/>
          <w:color w:val="000000"/>
          <w:sz w:val="24"/>
          <w:szCs w:val="24"/>
        </w:rPr>
        <w:t xml:space="preserve"> approximately 300 parenting capacity assessments</w:t>
      </w:r>
      <w:r w:rsidR="00BD5183">
        <w:rPr>
          <w:rFonts w:ascii="Arial" w:hAnsi="Arial" w:cs="Arial"/>
          <w:color w:val="000000"/>
          <w:sz w:val="24"/>
          <w:szCs w:val="24"/>
        </w:rPr>
        <w:t xml:space="preserve">, </w:t>
      </w:r>
      <w:r w:rsidR="00FC62D5">
        <w:rPr>
          <w:rFonts w:ascii="Arial" w:hAnsi="Arial" w:cs="Arial"/>
          <w:color w:val="000000"/>
          <w:sz w:val="24"/>
          <w:szCs w:val="24"/>
        </w:rPr>
        <w:t xml:space="preserve">that </w:t>
      </w:r>
      <w:r w:rsidR="00BD5183">
        <w:rPr>
          <w:rFonts w:ascii="Arial" w:hAnsi="Arial" w:cs="Arial"/>
          <w:color w:val="000000"/>
          <w:sz w:val="24"/>
          <w:szCs w:val="24"/>
        </w:rPr>
        <w:t>he had</w:t>
      </w:r>
      <w:r w:rsidR="00FA74E9">
        <w:rPr>
          <w:rFonts w:ascii="Arial" w:hAnsi="Arial" w:cs="Arial"/>
          <w:color w:val="000000"/>
          <w:sz w:val="24"/>
          <w:szCs w:val="24"/>
        </w:rPr>
        <w:t xml:space="preserve"> been doing these assessments for 30 years</w:t>
      </w:r>
      <w:r w:rsidR="00BD5183">
        <w:rPr>
          <w:rFonts w:ascii="Arial" w:hAnsi="Arial" w:cs="Arial"/>
          <w:color w:val="000000"/>
          <w:sz w:val="24"/>
          <w:szCs w:val="24"/>
        </w:rPr>
        <w:t xml:space="preserve"> and </w:t>
      </w:r>
      <w:r w:rsidR="00044796">
        <w:rPr>
          <w:rFonts w:ascii="Arial" w:hAnsi="Arial" w:cs="Arial"/>
          <w:color w:val="000000"/>
          <w:sz w:val="24"/>
          <w:szCs w:val="24"/>
        </w:rPr>
        <w:t xml:space="preserve">that he </w:t>
      </w:r>
      <w:r w:rsidR="00BD5183">
        <w:rPr>
          <w:rFonts w:ascii="Arial" w:hAnsi="Arial" w:cs="Arial"/>
          <w:color w:val="000000"/>
          <w:sz w:val="24"/>
          <w:szCs w:val="24"/>
        </w:rPr>
        <w:t xml:space="preserve">had been </w:t>
      </w:r>
      <w:r w:rsidR="00D46F64">
        <w:rPr>
          <w:rFonts w:ascii="Arial" w:hAnsi="Arial" w:cs="Arial"/>
          <w:color w:val="000000"/>
          <w:sz w:val="24"/>
          <w:szCs w:val="24"/>
        </w:rPr>
        <w:t>qualified as an expert witness in parenting capacity approximately 30</w:t>
      </w:r>
      <w:r w:rsidR="0075133A">
        <w:rPr>
          <w:rFonts w:ascii="Arial" w:hAnsi="Arial" w:cs="Arial"/>
          <w:color w:val="000000"/>
          <w:sz w:val="24"/>
          <w:szCs w:val="24"/>
        </w:rPr>
        <w:t xml:space="preserve"> to </w:t>
      </w:r>
      <w:r w:rsidR="00D46F64">
        <w:rPr>
          <w:rFonts w:ascii="Arial" w:hAnsi="Arial" w:cs="Arial"/>
          <w:color w:val="000000"/>
          <w:sz w:val="24"/>
          <w:szCs w:val="24"/>
        </w:rPr>
        <w:t>40 times</w:t>
      </w:r>
      <w:r w:rsidR="00FD68A5">
        <w:rPr>
          <w:rFonts w:ascii="Arial" w:hAnsi="Arial" w:cs="Arial"/>
          <w:color w:val="000000"/>
          <w:sz w:val="24"/>
          <w:szCs w:val="24"/>
        </w:rPr>
        <w:t>.</w:t>
      </w:r>
      <w:r w:rsidR="00FD68A5">
        <w:rPr>
          <w:rStyle w:val="FootnoteReference"/>
          <w:rFonts w:ascii="Arial" w:hAnsi="Arial" w:cs="Arial"/>
          <w:color w:val="000000"/>
          <w:sz w:val="24"/>
          <w:szCs w:val="24"/>
        </w:rPr>
        <w:footnoteReference w:id="103"/>
      </w:r>
      <w:r w:rsidR="00D46F64">
        <w:rPr>
          <w:rFonts w:ascii="Arial" w:hAnsi="Arial" w:cs="Arial"/>
          <w:color w:val="000000"/>
          <w:sz w:val="24"/>
          <w:szCs w:val="24"/>
        </w:rPr>
        <w:t xml:space="preserve"> </w:t>
      </w:r>
      <w:r w:rsidR="006F3B83">
        <w:rPr>
          <w:rFonts w:ascii="Arial" w:hAnsi="Arial" w:cs="Arial"/>
          <w:color w:val="000000"/>
          <w:sz w:val="24"/>
          <w:szCs w:val="24"/>
        </w:rPr>
        <w:t xml:space="preserve">The court </w:t>
      </w:r>
      <w:r w:rsidR="00265510">
        <w:rPr>
          <w:rFonts w:ascii="Arial" w:hAnsi="Arial" w:cs="Arial"/>
          <w:color w:val="000000"/>
          <w:sz w:val="24"/>
          <w:szCs w:val="24"/>
        </w:rPr>
        <w:t xml:space="preserve">ultimately </w:t>
      </w:r>
      <w:r w:rsidR="006F3B83">
        <w:rPr>
          <w:rFonts w:ascii="Arial" w:hAnsi="Arial" w:cs="Arial"/>
          <w:color w:val="000000"/>
          <w:sz w:val="24"/>
          <w:szCs w:val="24"/>
        </w:rPr>
        <w:t>assigned little weight to his opinion evidence.</w:t>
      </w:r>
      <w:r w:rsidR="001C47CC">
        <w:rPr>
          <w:rStyle w:val="FootnoteReference"/>
          <w:rFonts w:ascii="Arial" w:hAnsi="Arial" w:cs="Arial"/>
          <w:color w:val="000000"/>
          <w:sz w:val="24"/>
          <w:szCs w:val="24"/>
        </w:rPr>
        <w:footnoteReference w:id="104"/>
      </w:r>
    </w:p>
    <w:p w14:paraId="2C7D1BA1" w14:textId="77777777" w:rsidR="00C87B0D" w:rsidRDefault="00C87B0D" w:rsidP="007D2931">
      <w:pPr>
        <w:spacing w:after="0" w:line="240" w:lineRule="auto"/>
        <w:rPr>
          <w:rFonts w:ascii="Arial" w:hAnsi="Arial" w:cs="Arial"/>
          <w:color w:val="000000"/>
          <w:sz w:val="24"/>
          <w:szCs w:val="24"/>
        </w:rPr>
      </w:pPr>
    </w:p>
    <w:p w14:paraId="3E833738" w14:textId="7473ACCA" w:rsidR="00F51767" w:rsidRDefault="00B141E0" w:rsidP="00392A44">
      <w:pPr>
        <w:spacing w:after="0" w:line="240" w:lineRule="auto"/>
        <w:rPr>
          <w:rFonts w:ascii="Arial" w:hAnsi="Arial" w:cs="Arial"/>
          <w:color w:val="000000"/>
          <w:sz w:val="24"/>
          <w:szCs w:val="24"/>
        </w:rPr>
      </w:pPr>
      <w:r>
        <w:rPr>
          <w:rFonts w:ascii="Arial" w:hAnsi="Arial" w:cs="Arial"/>
          <w:color w:val="000000"/>
          <w:sz w:val="24"/>
          <w:szCs w:val="24"/>
        </w:rPr>
        <w:t xml:space="preserve">The issue of critique evidence is </w:t>
      </w:r>
      <w:r w:rsidR="00B43C5C">
        <w:rPr>
          <w:rFonts w:ascii="Arial" w:hAnsi="Arial" w:cs="Arial"/>
          <w:color w:val="000000"/>
          <w:sz w:val="24"/>
          <w:szCs w:val="24"/>
        </w:rPr>
        <w:t xml:space="preserve">controversial in the family law context.  </w:t>
      </w:r>
      <w:r w:rsidRPr="006A045A">
        <w:rPr>
          <w:rFonts w:ascii="Arial" w:hAnsi="Arial" w:cs="Arial"/>
          <w:color w:val="000000"/>
          <w:sz w:val="24"/>
          <w:szCs w:val="24"/>
        </w:rPr>
        <w:t xml:space="preserve">In the 2015 Ontario Court of Appeal decision of </w:t>
      </w:r>
      <w:r w:rsidRPr="002809C4">
        <w:rPr>
          <w:rFonts w:ascii="Arial" w:hAnsi="Arial" w:cs="Arial"/>
          <w:i/>
          <w:iCs/>
          <w:color w:val="000000"/>
          <w:sz w:val="24"/>
          <w:szCs w:val="24"/>
        </w:rPr>
        <w:t>M. v. F</w:t>
      </w:r>
      <w:r w:rsidRPr="006A045A">
        <w:rPr>
          <w:rFonts w:ascii="Arial" w:hAnsi="Arial" w:cs="Arial"/>
          <w:color w:val="000000"/>
          <w:sz w:val="24"/>
          <w:szCs w:val="24"/>
        </w:rPr>
        <w:t xml:space="preserve">., a ground of appeal raised by the appellant mother was that the trial judge had placed little weight on the critique evidence of a psychologist who had been retained by her to “raise concerns” about the </w:t>
      </w:r>
      <w:r>
        <w:rPr>
          <w:rFonts w:ascii="Arial" w:hAnsi="Arial" w:cs="Arial"/>
          <w:color w:val="000000"/>
          <w:sz w:val="24"/>
          <w:szCs w:val="24"/>
        </w:rPr>
        <w:t xml:space="preserve">custody and access </w:t>
      </w:r>
      <w:r w:rsidRPr="006A045A">
        <w:rPr>
          <w:rFonts w:ascii="Arial" w:hAnsi="Arial" w:cs="Arial"/>
          <w:color w:val="000000"/>
          <w:sz w:val="24"/>
          <w:szCs w:val="24"/>
        </w:rPr>
        <w:t>assessment of an assessor who had been appointed by the court on the consent of both parties.</w:t>
      </w:r>
      <w:r w:rsidR="00B43C5C">
        <w:rPr>
          <w:rStyle w:val="FootnoteReference"/>
          <w:rFonts w:ascii="Arial" w:hAnsi="Arial" w:cs="Arial"/>
          <w:color w:val="000000"/>
          <w:sz w:val="24"/>
          <w:szCs w:val="24"/>
        </w:rPr>
        <w:footnoteReference w:id="105"/>
      </w:r>
      <w:r w:rsidRPr="006A045A">
        <w:rPr>
          <w:rFonts w:ascii="Arial" w:hAnsi="Arial" w:cs="Arial"/>
          <w:color w:val="000000"/>
          <w:sz w:val="24"/>
          <w:szCs w:val="24"/>
        </w:rPr>
        <w:t xml:space="preserve"> </w:t>
      </w:r>
    </w:p>
    <w:p w14:paraId="17080D18" w14:textId="77777777" w:rsidR="00F51767" w:rsidRDefault="00F51767" w:rsidP="00392A44">
      <w:pPr>
        <w:spacing w:after="0" w:line="240" w:lineRule="auto"/>
        <w:rPr>
          <w:rFonts w:ascii="Arial" w:hAnsi="Arial" w:cs="Arial"/>
          <w:color w:val="000000"/>
          <w:sz w:val="24"/>
          <w:szCs w:val="24"/>
        </w:rPr>
      </w:pPr>
    </w:p>
    <w:p w14:paraId="2297A4FF" w14:textId="39D4884C" w:rsidR="00B141E0" w:rsidRPr="006A045A" w:rsidRDefault="00B141E0" w:rsidP="00392A44">
      <w:pPr>
        <w:spacing w:after="0" w:line="240" w:lineRule="auto"/>
        <w:rPr>
          <w:rFonts w:ascii="Arial" w:hAnsi="Arial" w:cs="Arial"/>
          <w:color w:val="000000"/>
          <w:sz w:val="24"/>
          <w:szCs w:val="24"/>
        </w:rPr>
      </w:pPr>
      <w:r>
        <w:rPr>
          <w:rFonts w:ascii="Arial" w:hAnsi="Arial" w:cs="Arial"/>
          <w:color w:val="000000"/>
          <w:sz w:val="24"/>
          <w:szCs w:val="24"/>
        </w:rPr>
        <w:t xml:space="preserve">On appeal, </w:t>
      </w:r>
      <w:r w:rsidRPr="006A045A">
        <w:rPr>
          <w:rFonts w:ascii="Arial" w:hAnsi="Arial" w:cs="Arial"/>
          <w:color w:val="000000"/>
          <w:sz w:val="24"/>
          <w:szCs w:val="24"/>
        </w:rPr>
        <w:t xml:space="preserve">Justice </w:t>
      </w:r>
      <w:proofErr w:type="spellStart"/>
      <w:r w:rsidRPr="006A045A">
        <w:rPr>
          <w:rFonts w:ascii="Arial" w:hAnsi="Arial" w:cs="Arial"/>
          <w:color w:val="000000"/>
          <w:sz w:val="24"/>
          <w:szCs w:val="24"/>
        </w:rPr>
        <w:t>Benotto</w:t>
      </w:r>
      <w:proofErr w:type="spellEnd"/>
      <w:r w:rsidRPr="006A045A">
        <w:rPr>
          <w:rFonts w:ascii="Arial" w:hAnsi="Arial" w:cs="Arial"/>
          <w:color w:val="000000"/>
          <w:sz w:val="24"/>
          <w:szCs w:val="24"/>
        </w:rPr>
        <w:t xml:space="preserve"> found that it was not surprising that the trial judge had placed little weight on the critique assessor who had never met the child.  Justice </w:t>
      </w:r>
      <w:proofErr w:type="spellStart"/>
      <w:r w:rsidRPr="006A045A">
        <w:rPr>
          <w:rFonts w:ascii="Arial" w:hAnsi="Arial" w:cs="Arial"/>
          <w:color w:val="000000"/>
          <w:sz w:val="24"/>
          <w:szCs w:val="24"/>
        </w:rPr>
        <w:t>Benotto</w:t>
      </w:r>
      <w:proofErr w:type="spellEnd"/>
      <w:r w:rsidRPr="006A045A">
        <w:rPr>
          <w:rFonts w:ascii="Arial" w:hAnsi="Arial" w:cs="Arial"/>
          <w:color w:val="000000"/>
          <w:sz w:val="24"/>
          <w:szCs w:val="24"/>
        </w:rPr>
        <w:t xml:space="preserve"> commented </w:t>
      </w:r>
      <w:r>
        <w:rPr>
          <w:rFonts w:ascii="Arial" w:hAnsi="Arial" w:cs="Arial"/>
          <w:color w:val="000000"/>
          <w:sz w:val="24"/>
          <w:szCs w:val="24"/>
        </w:rPr>
        <w:t>in that case that the critique assessor’s “</w:t>
      </w:r>
      <w:r w:rsidRPr="006A045A">
        <w:rPr>
          <w:rFonts w:ascii="Arial" w:hAnsi="Arial" w:cs="Arial"/>
          <w:color w:val="000000"/>
          <w:sz w:val="24"/>
          <w:szCs w:val="24"/>
        </w:rPr>
        <w:t xml:space="preserve">self-described task was to </w:t>
      </w:r>
      <w:r>
        <w:rPr>
          <w:rFonts w:ascii="Arial" w:hAnsi="Arial" w:cs="Arial"/>
          <w:color w:val="000000"/>
          <w:sz w:val="24"/>
          <w:szCs w:val="24"/>
        </w:rPr>
        <w:t>‘</w:t>
      </w:r>
      <w:r w:rsidRPr="006A045A">
        <w:rPr>
          <w:rFonts w:ascii="Arial" w:hAnsi="Arial" w:cs="Arial"/>
          <w:color w:val="000000"/>
          <w:sz w:val="24"/>
          <w:szCs w:val="24"/>
        </w:rPr>
        <w:t>raise concerns</w:t>
      </w:r>
      <w:r>
        <w:rPr>
          <w:rFonts w:ascii="Arial" w:hAnsi="Arial" w:cs="Arial"/>
          <w:color w:val="000000"/>
          <w:sz w:val="24"/>
          <w:szCs w:val="24"/>
        </w:rPr>
        <w:t>’</w:t>
      </w:r>
      <w:r w:rsidRPr="006A045A">
        <w:rPr>
          <w:rFonts w:ascii="Arial" w:hAnsi="Arial" w:cs="Arial"/>
          <w:color w:val="000000"/>
          <w:sz w:val="24"/>
          <w:szCs w:val="24"/>
        </w:rPr>
        <w:t xml:space="preserve"> about the court-appointed assessment. </w:t>
      </w:r>
      <w:r w:rsidR="00650A97">
        <w:rPr>
          <w:rFonts w:ascii="Arial" w:hAnsi="Arial" w:cs="Arial"/>
          <w:color w:val="000000"/>
          <w:sz w:val="24"/>
          <w:szCs w:val="24"/>
        </w:rPr>
        <w:t>The court further commented that “i</w:t>
      </w:r>
      <w:r w:rsidRPr="006A045A">
        <w:rPr>
          <w:rFonts w:ascii="Arial" w:hAnsi="Arial" w:cs="Arial"/>
          <w:color w:val="000000"/>
          <w:sz w:val="24"/>
          <w:szCs w:val="24"/>
        </w:rPr>
        <w:t>t would be difficult to find that such evidence meets the criteria of </w:t>
      </w:r>
      <w:r w:rsidRPr="006A045A">
        <w:rPr>
          <w:rStyle w:val="Emphasis"/>
          <w:rFonts w:ascii="Arial" w:hAnsi="Arial" w:cs="Arial"/>
          <w:color w:val="000000"/>
          <w:sz w:val="24"/>
          <w:szCs w:val="24"/>
        </w:rPr>
        <w:t>Mohan</w:t>
      </w:r>
      <w:r w:rsidRPr="006A045A">
        <w:rPr>
          <w:rFonts w:ascii="Arial" w:hAnsi="Arial" w:cs="Arial"/>
          <w:color w:val="000000"/>
          <w:sz w:val="24"/>
          <w:szCs w:val="24"/>
        </w:rPr>
        <w:t>.</w:t>
      </w:r>
      <w:r w:rsidR="00421D3F">
        <w:rPr>
          <w:rFonts w:ascii="Arial" w:hAnsi="Arial" w:cs="Arial"/>
          <w:color w:val="000000"/>
          <w:sz w:val="24"/>
          <w:szCs w:val="24"/>
        </w:rPr>
        <w:t>”</w:t>
      </w:r>
      <w:r w:rsidRPr="006A045A">
        <w:rPr>
          <w:rFonts w:ascii="Arial" w:hAnsi="Arial" w:cs="Arial"/>
          <w:color w:val="000000"/>
          <w:sz w:val="24"/>
          <w:szCs w:val="24"/>
        </w:rPr>
        <w:t xml:space="preserve"> </w:t>
      </w:r>
      <w:r w:rsidR="00571084">
        <w:rPr>
          <w:rStyle w:val="FootnoteReference"/>
          <w:rFonts w:ascii="Arial" w:hAnsi="Arial" w:cs="Arial"/>
          <w:color w:val="000000"/>
          <w:sz w:val="24"/>
          <w:szCs w:val="24"/>
        </w:rPr>
        <w:footnoteReference w:id="106"/>
      </w:r>
      <w:r w:rsidRPr="006A045A">
        <w:rPr>
          <w:rFonts w:ascii="Arial" w:hAnsi="Arial" w:cs="Arial"/>
          <w:color w:val="000000"/>
          <w:sz w:val="24"/>
          <w:szCs w:val="24"/>
        </w:rPr>
        <w:t> </w:t>
      </w:r>
    </w:p>
    <w:p w14:paraId="2EA19544" w14:textId="079978E4" w:rsidR="00B141E0" w:rsidRPr="006A045A" w:rsidRDefault="00B141E0" w:rsidP="00A77EF3">
      <w:pPr>
        <w:pStyle w:val="aparanumbering"/>
        <w:spacing w:before="120" w:beforeAutospacing="0" w:after="120" w:afterAutospacing="0"/>
        <w:rPr>
          <w:rFonts w:ascii="Arial" w:hAnsi="Arial" w:cs="Arial"/>
          <w:color w:val="000000"/>
        </w:rPr>
      </w:pPr>
      <w:r>
        <w:rPr>
          <w:rFonts w:ascii="Arial" w:hAnsi="Arial" w:cs="Arial"/>
          <w:color w:val="000000"/>
        </w:rPr>
        <w:t xml:space="preserve">In </w:t>
      </w:r>
      <w:r w:rsidR="00571084">
        <w:rPr>
          <w:rFonts w:ascii="Arial" w:hAnsi="Arial" w:cs="Arial"/>
          <w:color w:val="000000"/>
        </w:rPr>
        <w:t xml:space="preserve">both the </w:t>
      </w:r>
      <w:r w:rsidRPr="007E61C8">
        <w:rPr>
          <w:rFonts w:ascii="Arial" w:hAnsi="Arial" w:cs="Arial"/>
          <w:i/>
          <w:iCs/>
          <w:color w:val="000000"/>
        </w:rPr>
        <w:t>CAST v. A.L.</w:t>
      </w:r>
      <w:r>
        <w:rPr>
          <w:rFonts w:ascii="Arial" w:hAnsi="Arial" w:cs="Arial"/>
          <w:color w:val="000000"/>
        </w:rPr>
        <w:t xml:space="preserve"> </w:t>
      </w:r>
      <w:r w:rsidR="00C0420B">
        <w:rPr>
          <w:rFonts w:ascii="Arial" w:hAnsi="Arial" w:cs="Arial"/>
          <w:color w:val="000000"/>
        </w:rPr>
        <w:t xml:space="preserve">and the </w:t>
      </w:r>
      <w:r w:rsidR="00C0420B" w:rsidRPr="00C0420B">
        <w:rPr>
          <w:rFonts w:ascii="Arial" w:hAnsi="Arial" w:cs="Arial"/>
          <w:i/>
          <w:iCs/>
          <w:color w:val="000000"/>
        </w:rPr>
        <w:t>A.W</w:t>
      </w:r>
      <w:r w:rsidR="00C0420B">
        <w:rPr>
          <w:rFonts w:ascii="Arial" w:hAnsi="Arial" w:cs="Arial"/>
          <w:color w:val="000000"/>
        </w:rPr>
        <w:t xml:space="preserve">. and </w:t>
      </w:r>
      <w:r w:rsidR="00C0420B" w:rsidRPr="00C0420B">
        <w:rPr>
          <w:rFonts w:ascii="Arial" w:hAnsi="Arial" w:cs="Arial"/>
          <w:i/>
          <w:iCs/>
          <w:color w:val="000000"/>
        </w:rPr>
        <w:t>G.K.W</w:t>
      </w:r>
      <w:r w:rsidR="00C0420B">
        <w:rPr>
          <w:rFonts w:ascii="Arial" w:hAnsi="Arial" w:cs="Arial"/>
          <w:color w:val="000000"/>
        </w:rPr>
        <w:t>. decisions</w:t>
      </w:r>
      <w:r>
        <w:rPr>
          <w:rFonts w:ascii="Arial" w:hAnsi="Arial" w:cs="Arial"/>
          <w:color w:val="000000"/>
        </w:rPr>
        <w:t xml:space="preserve">, the court </w:t>
      </w:r>
      <w:r w:rsidRPr="006A045A">
        <w:rPr>
          <w:rFonts w:ascii="Arial" w:hAnsi="Arial" w:cs="Arial"/>
          <w:color w:val="000000"/>
        </w:rPr>
        <w:t xml:space="preserve">distinguishes the </w:t>
      </w:r>
      <w:proofErr w:type="spellStart"/>
      <w:r w:rsidRPr="006A045A">
        <w:rPr>
          <w:rFonts w:ascii="Arial" w:hAnsi="Arial" w:cs="Arial"/>
          <w:i/>
          <w:iCs/>
          <w:color w:val="000000"/>
        </w:rPr>
        <w:t>M.v.F</w:t>
      </w:r>
      <w:proofErr w:type="spellEnd"/>
      <w:r w:rsidRPr="006A045A">
        <w:rPr>
          <w:rFonts w:ascii="Arial" w:hAnsi="Arial" w:cs="Arial"/>
          <w:color w:val="000000"/>
        </w:rPr>
        <w:t xml:space="preserve">. decision </w:t>
      </w:r>
      <w:r>
        <w:rPr>
          <w:rFonts w:ascii="Arial" w:hAnsi="Arial" w:cs="Arial"/>
          <w:color w:val="000000"/>
        </w:rPr>
        <w:t xml:space="preserve">on the basis that it was a private family law dispute, where the considerations differ from the child protection context.  The court points out the </w:t>
      </w:r>
      <w:r w:rsidRPr="006A045A">
        <w:rPr>
          <w:rFonts w:ascii="Arial" w:hAnsi="Arial" w:cs="Arial"/>
          <w:color w:val="000000"/>
        </w:rPr>
        <w:t xml:space="preserve">high stakes of a child protection trial where an extended care order is being sought.  </w:t>
      </w:r>
      <w:r>
        <w:rPr>
          <w:rFonts w:ascii="Arial" w:hAnsi="Arial" w:cs="Arial"/>
          <w:color w:val="000000"/>
        </w:rPr>
        <w:t xml:space="preserve">The court reviewed the fact that, </w:t>
      </w:r>
      <w:r w:rsidRPr="006A045A">
        <w:rPr>
          <w:rFonts w:ascii="Arial" w:hAnsi="Arial" w:cs="Arial"/>
          <w:color w:val="000000"/>
        </w:rPr>
        <w:t>unlike other family law matters, an extended care order with an adoption plan cannot be varied and there are Charter rights at stake for the parent.</w:t>
      </w:r>
      <w:r w:rsidR="00001070">
        <w:rPr>
          <w:rStyle w:val="FootnoteReference"/>
          <w:rFonts w:ascii="Arial" w:hAnsi="Arial" w:cs="Arial"/>
          <w:color w:val="000000"/>
        </w:rPr>
        <w:footnoteReference w:id="107"/>
      </w:r>
      <w:r>
        <w:rPr>
          <w:rFonts w:ascii="Arial" w:hAnsi="Arial" w:cs="Arial"/>
          <w:color w:val="000000"/>
        </w:rPr>
        <w:t xml:space="preserve"> </w:t>
      </w:r>
    </w:p>
    <w:p w14:paraId="705CCADB" w14:textId="1BF09713" w:rsidR="00B141E0" w:rsidRDefault="00B141E0" w:rsidP="00A77EF3">
      <w:pPr>
        <w:pStyle w:val="aparanumbering"/>
        <w:spacing w:before="120" w:beforeAutospacing="0" w:after="120" w:afterAutospacing="0"/>
        <w:rPr>
          <w:rFonts w:ascii="Arial" w:hAnsi="Arial" w:cs="Arial"/>
          <w:color w:val="000000"/>
        </w:rPr>
      </w:pPr>
      <w:r w:rsidRPr="006A045A">
        <w:rPr>
          <w:rFonts w:ascii="Arial" w:hAnsi="Arial" w:cs="Arial"/>
          <w:color w:val="000000"/>
        </w:rPr>
        <w:t xml:space="preserve">These are </w:t>
      </w:r>
      <w:r>
        <w:rPr>
          <w:rFonts w:ascii="Arial" w:hAnsi="Arial" w:cs="Arial"/>
          <w:color w:val="000000"/>
        </w:rPr>
        <w:t xml:space="preserve">all </w:t>
      </w:r>
      <w:r w:rsidRPr="006A045A">
        <w:rPr>
          <w:rFonts w:ascii="Arial" w:hAnsi="Arial" w:cs="Arial"/>
          <w:color w:val="000000"/>
        </w:rPr>
        <w:t xml:space="preserve">strong points in favour of treating expert reports in child protection proceedings with a </w:t>
      </w:r>
      <w:r>
        <w:rPr>
          <w:rFonts w:ascii="Arial" w:hAnsi="Arial" w:cs="Arial"/>
          <w:color w:val="000000"/>
        </w:rPr>
        <w:t xml:space="preserve">very </w:t>
      </w:r>
      <w:r w:rsidRPr="006A045A">
        <w:rPr>
          <w:rFonts w:ascii="Arial" w:hAnsi="Arial" w:cs="Arial"/>
          <w:color w:val="000000"/>
        </w:rPr>
        <w:t>high degree of caution.</w:t>
      </w:r>
      <w:r>
        <w:rPr>
          <w:rFonts w:ascii="Arial" w:hAnsi="Arial" w:cs="Arial"/>
          <w:color w:val="000000"/>
        </w:rPr>
        <w:t xml:space="preserve"> </w:t>
      </w:r>
      <w:r w:rsidR="00712E2C">
        <w:rPr>
          <w:rFonts w:ascii="Arial" w:hAnsi="Arial" w:cs="Arial"/>
          <w:color w:val="000000"/>
        </w:rPr>
        <w:t xml:space="preserve"> At the same time, </w:t>
      </w:r>
      <w:r w:rsidR="003C6276">
        <w:rPr>
          <w:rFonts w:ascii="Arial" w:hAnsi="Arial" w:cs="Arial"/>
          <w:color w:val="000000"/>
        </w:rPr>
        <w:t xml:space="preserve">the fact that parents have Charter rights does not squarely address the concern about whether a critique </w:t>
      </w:r>
      <w:r w:rsidR="00B51BAB">
        <w:rPr>
          <w:rFonts w:ascii="Arial" w:hAnsi="Arial" w:cs="Arial"/>
          <w:color w:val="000000"/>
        </w:rPr>
        <w:t xml:space="preserve">report </w:t>
      </w:r>
      <w:r w:rsidR="00A34623">
        <w:rPr>
          <w:rFonts w:ascii="Arial" w:hAnsi="Arial" w:cs="Arial"/>
          <w:color w:val="000000"/>
        </w:rPr>
        <w:t xml:space="preserve">can meet the necessity and reliability </w:t>
      </w:r>
      <w:r w:rsidR="00E81070">
        <w:rPr>
          <w:rFonts w:ascii="Arial" w:hAnsi="Arial" w:cs="Arial"/>
          <w:color w:val="000000"/>
        </w:rPr>
        <w:t xml:space="preserve">criteria </w:t>
      </w:r>
      <w:r w:rsidR="004E0207">
        <w:rPr>
          <w:rFonts w:ascii="Arial" w:hAnsi="Arial" w:cs="Arial"/>
          <w:color w:val="000000"/>
        </w:rPr>
        <w:t>in the</w:t>
      </w:r>
      <w:r w:rsidR="00B51BAB">
        <w:rPr>
          <w:rFonts w:ascii="Arial" w:hAnsi="Arial" w:cs="Arial"/>
          <w:color w:val="000000"/>
        </w:rPr>
        <w:t xml:space="preserve"> Mohan </w:t>
      </w:r>
      <w:r w:rsidR="00011D86">
        <w:rPr>
          <w:rFonts w:ascii="Arial" w:hAnsi="Arial" w:cs="Arial"/>
          <w:color w:val="000000"/>
        </w:rPr>
        <w:t>test</w:t>
      </w:r>
      <w:r w:rsidR="00B51BAB">
        <w:rPr>
          <w:rFonts w:ascii="Arial" w:hAnsi="Arial" w:cs="Arial"/>
          <w:color w:val="000000"/>
        </w:rPr>
        <w:t xml:space="preserve">.  </w:t>
      </w:r>
      <w:r>
        <w:rPr>
          <w:rFonts w:ascii="Arial" w:hAnsi="Arial" w:cs="Arial"/>
          <w:color w:val="000000"/>
        </w:rPr>
        <w:t xml:space="preserve">If a critique assessor approaches the task of the critique with a view to “raising concerns” about the </w:t>
      </w:r>
      <w:r>
        <w:rPr>
          <w:rFonts w:ascii="Arial" w:hAnsi="Arial" w:cs="Arial"/>
          <w:color w:val="000000"/>
        </w:rPr>
        <w:lastRenderedPageBreak/>
        <w:t xml:space="preserve">assessment methodology, this could raise an obvious concern about the impartiality or independence of the critique assessor.  </w:t>
      </w:r>
    </w:p>
    <w:p w14:paraId="618636D9" w14:textId="07BC4C5F" w:rsidR="00BE149D" w:rsidRDefault="00693EDC" w:rsidP="00A77EF3">
      <w:pPr>
        <w:pStyle w:val="aparanumbering"/>
        <w:spacing w:before="120" w:beforeAutospacing="0" w:after="120" w:afterAutospacing="0"/>
        <w:rPr>
          <w:rFonts w:ascii="Arial" w:hAnsi="Arial" w:cs="Arial"/>
          <w:color w:val="000000"/>
        </w:rPr>
      </w:pPr>
      <w:r>
        <w:rPr>
          <w:rFonts w:ascii="Arial" w:hAnsi="Arial" w:cs="Arial"/>
          <w:color w:val="000000"/>
        </w:rPr>
        <w:t>I</w:t>
      </w:r>
      <w:r w:rsidR="00B141E0">
        <w:rPr>
          <w:rFonts w:ascii="Arial" w:hAnsi="Arial" w:cs="Arial"/>
          <w:color w:val="000000"/>
        </w:rPr>
        <w:t xml:space="preserve">n the </w:t>
      </w:r>
      <w:r w:rsidR="00B141E0" w:rsidRPr="002716EA">
        <w:rPr>
          <w:rFonts w:ascii="Arial" w:hAnsi="Arial" w:cs="Arial"/>
          <w:i/>
          <w:iCs/>
          <w:color w:val="000000"/>
        </w:rPr>
        <w:t>CAST v. A.L</w:t>
      </w:r>
      <w:r w:rsidR="00B141E0" w:rsidRPr="006A045A">
        <w:rPr>
          <w:rFonts w:ascii="Arial" w:hAnsi="Arial" w:cs="Arial"/>
          <w:color w:val="000000"/>
        </w:rPr>
        <w:t>. decision</w:t>
      </w:r>
      <w:r w:rsidR="00B141E0">
        <w:rPr>
          <w:rFonts w:ascii="Arial" w:hAnsi="Arial" w:cs="Arial"/>
          <w:color w:val="000000"/>
        </w:rPr>
        <w:t xml:space="preserve">, </w:t>
      </w:r>
      <w:r w:rsidR="006945C8">
        <w:rPr>
          <w:rFonts w:ascii="Arial" w:hAnsi="Arial" w:cs="Arial"/>
          <w:color w:val="000000"/>
        </w:rPr>
        <w:t xml:space="preserve">there is </w:t>
      </w:r>
      <w:r w:rsidR="00776BEC">
        <w:rPr>
          <w:rFonts w:ascii="Arial" w:hAnsi="Arial" w:cs="Arial"/>
          <w:color w:val="000000"/>
        </w:rPr>
        <w:t>a</w:t>
      </w:r>
      <w:r>
        <w:rPr>
          <w:rFonts w:ascii="Arial" w:hAnsi="Arial" w:cs="Arial"/>
          <w:color w:val="000000"/>
        </w:rPr>
        <w:t xml:space="preserve"> lack</w:t>
      </w:r>
      <w:r w:rsidR="00776BEC">
        <w:rPr>
          <w:rFonts w:ascii="Arial" w:hAnsi="Arial" w:cs="Arial"/>
          <w:color w:val="000000"/>
        </w:rPr>
        <w:t xml:space="preserve"> of analysis with respect to how </w:t>
      </w:r>
      <w:r w:rsidR="00B141E0" w:rsidRPr="006A045A">
        <w:rPr>
          <w:rFonts w:ascii="Arial" w:hAnsi="Arial" w:cs="Arial"/>
          <w:color w:val="000000"/>
        </w:rPr>
        <w:t xml:space="preserve">it was determined by the court that the evidence of the critique expert was </w:t>
      </w:r>
      <w:r w:rsidR="00B141E0">
        <w:rPr>
          <w:rFonts w:ascii="Arial" w:hAnsi="Arial" w:cs="Arial"/>
          <w:color w:val="000000"/>
        </w:rPr>
        <w:t xml:space="preserve">truly </w:t>
      </w:r>
      <w:r w:rsidR="00C24C68">
        <w:rPr>
          <w:rFonts w:ascii="Arial" w:hAnsi="Arial" w:cs="Arial"/>
          <w:color w:val="000000"/>
        </w:rPr>
        <w:t xml:space="preserve">necessary or </w:t>
      </w:r>
      <w:r w:rsidR="00B141E0" w:rsidRPr="006A045A">
        <w:rPr>
          <w:rFonts w:ascii="Arial" w:hAnsi="Arial" w:cs="Arial"/>
          <w:color w:val="000000"/>
        </w:rPr>
        <w:t>imparti</w:t>
      </w:r>
      <w:r w:rsidR="00815659">
        <w:rPr>
          <w:rFonts w:ascii="Arial" w:hAnsi="Arial" w:cs="Arial"/>
          <w:color w:val="000000"/>
        </w:rPr>
        <w:t>al</w:t>
      </w:r>
      <w:r w:rsidR="00B141E0">
        <w:rPr>
          <w:rFonts w:ascii="Arial" w:hAnsi="Arial" w:cs="Arial"/>
          <w:color w:val="000000"/>
        </w:rPr>
        <w:t xml:space="preserve"> as is required by the </w:t>
      </w:r>
      <w:r w:rsidR="00B141E0" w:rsidRPr="006F45DF">
        <w:rPr>
          <w:rFonts w:ascii="Arial" w:hAnsi="Arial" w:cs="Arial"/>
          <w:i/>
          <w:iCs/>
          <w:color w:val="000000"/>
        </w:rPr>
        <w:t>Mohan</w:t>
      </w:r>
      <w:r w:rsidR="005E4262">
        <w:rPr>
          <w:rFonts w:ascii="Arial" w:hAnsi="Arial" w:cs="Arial"/>
          <w:color w:val="000000"/>
        </w:rPr>
        <w:t xml:space="preserve"> test.</w:t>
      </w:r>
      <w:r w:rsidR="00B141E0" w:rsidRPr="006A045A">
        <w:rPr>
          <w:rFonts w:ascii="Arial" w:hAnsi="Arial" w:cs="Arial"/>
          <w:color w:val="000000"/>
        </w:rPr>
        <w:t xml:space="preserve">  </w:t>
      </w:r>
      <w:r w:rsidR="00B141E0">
        <w:rPr>
          <w:rFonts w:ascii="Arial" w:hAnsi="Arial" w:cs="Arial"/>
          <w:color w:val="000000"/>
        </w:rPr>
        <w:t xml:space="preserve">In fact, based on a review of the trial decision, one is left with the impression that the critique </w:t>
      </w:r>
      <w:r w:rsidR="00AB3188">
        <w:rPr>
          <w:rFonts w:ascii="Arial" w:hAnsi="Arial" w:cs="Arial"/>
          <w:color w:val="000000"/>
        </w:rPr>
        <w:t xml:space="preserve">report </w:t>
      </w:r>
      <w:r w:rsidR="003C141D">
        <w:rPr>
          <w:rFonts w:ascii="Arial" w:hAnsi="Arial" w:cs="Arial"/>
          <w:color w:val="000000"/>
        </w:rPr>
        <w:t xml:space="preserve">of the work of the parenting capacity assessor </w:t>
      </w:r>
      <w:r w:rsidR="00B141E0">
        <w:rPr>
          <w:rFonts w:ascii="Arial" w:hAnsi="Arial" w:cs="Arial"/>
          <w:color w:val="000000"/>
        </w:rPr>
        <w:t>was uniformly negative.</w:t>
      </w:r>
      <w:r w:rsidR="009D69FA">
        <w:rPr>
          <w:rStyle w:val="FootnoteReference"/>
          <w:rFonts w:ascii="Arial" w:hAnsi="Arial" w:cs="Arial"/>
          <w:color w:val="000000"/>
        </w:rPr>
        <w:footnoteReference w:id="108"/>
      </w:r>
      <w:r w:rsidR="00F75EF9">
        <w:rPr>
          <w:rFonts w:ascii="Arial" w:hAnsi="Arial" w:cs="Arial"/>
          <w:color w:val="000000"/>
        </w:rPr>
        <w:t xml:space="preserve">  </w:t>
      </w:r>
    </w:p>
    <w:p w14:paraId="2AD1E501" w14:textId="157056A9" w:rsidR="0078051D" w:rsidRDefault="0065510C" w:rsidP="00A77EF3">
      <w:pPr>
        <w:pStyle w:val="aparanumbering"/>
        <w:spacing w:before="120" w:beforeAutospacing="0" w:after="120" w:afterAutospacing="0"/>
        <w:rPr>
          <w:rFonts w:ascii="Arial" w:hAnsi="Arial" w:cs="Arial"/>
          <w:color w:val="000000"/>
        </w:rPr>
      </w:pPr>
      <w:r>
        <w:rPr>
          <w:rFonts w:ascii="Arial" w:hAnsi="Arial" w:cs="Arial"/>
          <w:color w:val="000000"/>
        </w:rPr>
        <w:t xml:space="preserve">There are also child protection cases where </w:t>
      </w:r>
      <w:r w:rsidR="00F75EF9">
        <w:rPr>
          <w:rFonts w:ascii="Arial" w:hAnsi="Arial" w:cs="Arial"/>
          <w:color w:val="000000"/>
        </w:rPr>
        <w:t>critique assessments have not been admitted</w:t>
      </w:r>
      <w:r w:rsidR="00DB1E63">
        <w:rPr>
          <w:rFonts w:ascii="Arial" w:hAnsi="Arial" w:cs="Arial"/>
          <w:color w:val="000000"/>
        </w:rPr>
        <w:t xml:space="preserve">.  </w:t>
      </w:r>
      <w:r w:rsidR="00237D51">
        <w:rPr>
          <w:rFonts w:ascii="Arial" w:hAnsi="Arial" w:cs="Arial"/>
          <w:color w:val="000000"/>
        </w:rPr>
        <w:t xml:space="preserve">For </w:t>
      </w:r>
      <w:proofErr w:type="gramStart"/>
      <w:r w:rsidR="00237D51">
        <w:rPr>
          <w:rFonts w:ascii="Arial" w:hAnsi="Arial" w:cs="Arial"/>
          <w:color w:val="000000"/>
        </w:rPr>
        <w:t>example</w:t>
      </w:r>
      <w:proofErr w:type="gramEnd"/>
      <w:r w:rsidR="00237D51">
        <w:rPr>
          <w:rFonts w:ascii="Arial" w:hAnsi="Arial" w:cs="Arial"/>
          <w:color w:val="000000"/>
        </w:rPr>
        <w:t xml:space="preserve"> </w:t>
      </w:r>
      <w:r w:rsidR="00AD6EEF">
        <w:rPr>
          <w:rFonts w:ascii="Arial" w:hAnsi="Arial" w:cs="Arial"/>
          <w:color w:val="000000"/>
        </w:rPr>
        <w:t xml:space="preserve">in </w:t>
      </w:r>
      <w:r w:rsidR="00C127D8">
        <w:rPr>
          <w:rFonts w:ascii="Arial" w:hAnsi="Arial" w:cs="Arial"/>
          <w:color w:val="000000"/>
        </w:rPr>
        <w:t xml:space="preserve">a </w:t>
      </w:r>
      <w:r w:rsidR="00757E72">
        <w:rPr>
          <w:rFonts w:ascii="Arial" w:hAnsi="Arial" w:cs="Arial"/>
          <w:color w:val="000000"/>
        </w:rPr>
        <w:t>2012</w:t>
      </w:r>
      <w:r w:rsidR="00B41B52">
        <w:rPr>
          <w:rFonts w:ascii="Arial" w:hAnsi="Arial" w:cs="Arial"/>
          <w:color w:val="000000"/>
        </w:rPr>
        <w:t xml:space="preserve"> decision, </w:t>
      </w:r>
      <w:r w:rsidR="00B41B52" w:rsidRPr="008C0BF1">
        <w:rPr>
          <w:rFonts w:ascii="Arial" w:hAnsi="Arial" w:cs="Arial"/>
          <w:i/>
          <w:iCs/>
          <w:color w:val="000000"/>
        </w:rPr>
        <w:t>Childre</w:t>
      </w:r>
      <w:r w:rsidR="000954E2" w:rsidRPr="008C0BF1">
        <w:rPr>
          <w:rFonts w:ascii="Arial" w:hAnsi="Arial" w:cs="Arial"/>
          <w:i/>
          <w:iCs/>
          <w:color w:val="000000"/>
        </w:rPr>
        <w:t>n’s Aid Society of the County of Simcoe and B.D. and S.S</w:t>
      </w:r>
      <w:r w:rsidR="000954E2">
        <w:rPr>
          <w:rFonts w:ascii="Arial" w:hAnsi="Arial" w:cs="Arial"/>
          <w:color w:val="000000"/>
        </w:rPr>
        <w:t xml:space="preserve">., </w:t>
      </w:r>
      <w:r w:rsidR="00CA5D6C">
        <w:rPr>
          <w:rFonts w:ascii="Arial" w:hAnsi="Arial" w:cs="Arial"/>
          <w:color w:val="000000"/>
        </w:rPr>
        <w:t xml:space="preserve">the parents </w:t>
      </w:r>
      <w:r w:rsidR="00A32FB4">
        <w:rPr>
          <w:rFonts w:ascii="Arial" w:hAnsi="Arial" w:cs="Arial"/>
          <w:color w:val="000000"/>
        </w:rPr>
        <w:t xml:space="preserve">sought </w:t>
      </w:r>
      <w:r w:rsidR="00F653AA">
        <w:rPr>
          <w:rFonts w:ascii="Arial" w:hAnsi="Arial" w:cs="Arial"/>
          <w:color w:val="000000"/>
        </w:rPr>
        <w:t xml:space="preserve">the </w:t>
      </w:r>
      <w:r w:rsidR="00A32FB4">
        <w:rPr>
          <w:rFonts w:ascii="Arial" w:hAnsi="Arial" w:cs="Arial"/>
          <w:color w:val="000000"/>
        </w:rPr>
        <w:t>return of a baby to their care</w:t>
      </w:r>
      <w:r w:rsidR="008B0F2B">
        <w:rPr>
          <w:rFonts w:ascii="Arial" w:hAnsi="Arial" w:cs="Arial"/>
          <w:color w:val="000000"/>
        </w:rPr>
        <w:t xml:space="preserve"> in response to a summary judgment motion where the Society was seeking an order of Crown Wardship,</w:t>
      </w:r>
      <w:r w:rsidR="00E36C02">
        <w:rPr>
          <w:rFonts w:ascii="Arial" w:hAnsi="Arial" w:cs="Arial"/>
          <w:color w:val="000000"/>
        </w:rPr>
        <w:t xml:space="preserve"> for the purposes of adoption.  The parents </w:t>
      </w:r>
      <w:r w:rsidR="00B73987">
        <w:rPr>
          <w:rFonts w:ascii="Arial" w:hAnsi="Arial" w:cs="Arial"/>
          <w:color w:val="000000"/>
        </w:rPr>
        <w:t>p</w:t>
      </w:r>
      <w:r w:rsidR="00E36C02">
        <w:rPr>
          <w:rFonts w:ascii="Arial" w:hAnsi="Arial" w:cs="Arial"/>
          <w:color w:val="000000"/>
        </w:rPr>
        <w:t>reviously had four children removed from their care permanently after a lengthy trial</w:t>
      </w:r>
      <w:r w:rsidR="00044436">
        <w:rPr>
          <w:rFonts w:ascii="Arial" w:hAnsi="Arial" w:cs="Arial"/>
          <w:color w:val="000000"/>
        </w:rPr>
        <w:t xml:space="preserve"> that had included a</w:t>
      </w:r>
      <w:r w:rsidR="00961D7C">
        <w:rPr>
          <w:rFonts w:ascii="Arial" w:hAnsi="Arial" w:cs="Arial"/>
          <w:color w:val="000000"/>
        </w:rPr>
        <w:t>n</w:t>
      </w:r>
      <w:r w:rsidR="006C6592">
        <w:rPr>
          <w:rFonts w:ascii="Arial" w:hAnsi="Arial" w:cs="Arial"/>
          <w:color w:val="000000"/>
        </w:rPr>
        <w:t xml:space="preserve"> </w:t>
      </w:r>
      <w:r w:rsidR="00961D7C">
        <w:rPr>
          <w:rFonts w:ascii="Arial" w:hAnsi="Arial" w:cs="Arial"/>
          <w:color w:val="000000"/>
        </w:rPr>
        <w:t xml:space="preserve">unfavourable </w:t>
      </w:r>
      <w:r w:rsidR="006C6592">
        <w:rPr>
          <w:rFonts w:ascii="Arial" w:hAnsi="Arial" w:cs="Arial"/>
          <w:color w:val="000000"/>
        </w:rPr>
        <w:t>parenting capacity</w:t>
      </w:r>
      <w:r w:rsidR="00044436">
        <w:rPr>
          <w:rFonts w:ascii="Arial" w:hAnsi="Arial" w:cs="Arial"/>
          <w:color w:val="000000"/>
        </w:rPr>
        <w:t xml:space="preserve"> assessment by the McMaster Children’s Hospital and the Child Advo</w:t>
      </w:r>
      <w:r w:rsidR="0054453C">
        <w:rPr>
          <w:rFonts w:ascii="Arial" w:hAnsi="Arial" w:cs="Arial"/>
          <w:color w:val="000000"/>
        </w:rPr>
        <w:t>cacy and Assessment Program (“CAAP”)</w:t>
      </w:r>
      <w:r w:rsidR="00FC3A33">
        <w:rPr>
          <w:rFonts w:ascii="Arial" w:hAnsi="Arial" w:cs="Arial"/>
          <w:color w:val="000000"/>
        </w:rPr>
        <w:t xml:space="preserve">.  </w:t>
      </w:r>
      <w:r w:rsidR="005B3E17">
        <w:rPr>
          <w:rFonts w:ascii="Arial" w:hAnsi="Arial" w:cs="Arial"/>
          <w:color w:val="000000"/>
        </w:rPr>
        <w:t xml:space="preserve">The parents </w:t>
      </w:r>
      <w:r w:rsidR="00A70F25">
        <w:rPr>
          <w:rFonts w:ascii="Arial" w:hAnsi="Arial" w:cs="Arial"/>
          <w:color w:val="000000"/>
        </w:rPr>
        <w:t xml:space="preserve">obtained a critique assessment from Dr. Peter Marshall and the court declined </w:t>
      </w:r>
      <w:r w:rsidR="00844B47">
        <w:rPr>
          <w:rFonts w:ascii="Arial" w:hAnsi="Arial" w:cs="Arial"/>
          <w:color w:val="000000"/>
        </w:rPr>
        <w:t>to admit it into evidence</w:t>
      </w:r>
      <w:r w:rsidR="00214B25">
        <w:rPr>
          <w:rFonts w:ascii="Arial" w:hAnsi="Arial" w:cs="Arial"/>
          <w:color w:val="000000"/>
        </w:rPr>
        <w:t xml:space="preserve"> but did admit </w:t>
      </w:r>
      <w:r w:rsidR="007D79FF">
        <w:rPr>
          <w:rFonts w:ascii="Arial" w:hAnsi="Arial" w:cs="Arial"/>
          <w:color w:val="000000"/>
        </w:rPr>
        <w:t>evidence of Dr. Marshall’s psychological testing and conclusions with respect to the parents</w:t>
      </w:r>
      <w:r w:rsidR="00136725">
        <w:rPr>
          <w:rFonts w:ascii="Arial" w:hAnsi="Arial" w:cs="Arial"/>
          <w:color w:val="000000"/>
        </w:rPr>
        <w:t>,</w:t>
      </w:r>
      <w:r w:rsidR="007D79FF">
        <w:rPr>
          <w:rFonts w:ascii="Arial" w:hAnsi="Arial" w:cs="Arial"/>
          <w:color w:val="000000"/>
        </w:rPr>
        <w:t xml:space="preserve"> in addition to his observations </w:t>
      </w:r>
      <w:r w:rsidR="00CE2BC9">
        <w:rPr>
          <w:rFonts w:ascii="Arial" w:hAnsi="Arial" w:cs="Arial"/>
          <w:color w:val="000000"/>
        </w:rPr>
        <w:t>of their parental interaction with the child during a day</w:t>
      </w:r>
      <w:r w:rsidR="002F12F6">
        <w:rPr>
          <w:rFonts w:ascii="Arial" w:hAnsi="Arial" w:cs="Arial"/>
          <w:color w:val="000000"/>
        </w:rPr>
        <w:t>-</w:t>
      </w:r>
      <w:r w:rsidR="00CE2BC9">
        <w:rPr>
          <w:rFonts w:ascii="Arial" w:hAnsi="Arial" w:cs="Arial"/>
          <w:color w:val="000000"/>
        </w:rPr>
        <w:t>long observation period.</w:t>
      </w:r>
      <w:r w:rsidR="002F1699">
        <w:rPr>
          <w:rStyle w:val="FootnoteReference"/>
          <w:rFonts w:ascii="Arial" w:hAnsi="Arial" w:cs="Arial"/>
          <w:color w:val="000000"/>
        </w:rPr>
        <w:footnoteReference w:id="109"/>
      </w:r>
      <w:r w:rsidR="004B0612">
        <w:rPr>
          <w:rFonts w:ascii="Arial" w:hAnsi="Arial" w:cs="Arial"/>
          <w:color w:val="000000"/>
        </w:rPr>
        <w:t xml:space="preserve">  </w:t>
      </w:r>
    </w:p>
    <w:p w14:paraId="362DE478" w14:textId="3C86B417" w:rsidR="00B141E0" w:rsidRDefault="007C1743" w:rsidP="00A77EF3">
      <w:pPr>
        <w:pStyle w:val="aparanumbering"/>
        <w:spacing w:before="120" w:beforeAutospacing="0" w:after="120" w:afterAutospacing="0"/>
        <w:rPr>
          <w:rFonts w:ascii="Arial" w:hAnsi="Arial" w:cs="Arial"/>
          <w:color w:val="000000"/>
        </w:rPr>
      </w:pPr>
      <w:r>
        <w:rPr>
          <w:rFonts w:ascii="Arial" w:hAnsi="Arial" w:cs="Arial"/>
          <w:color w:val="000000"/>
        </w:rPr>
        <w:t>In its reasoning with respect to declining to admit the critique assessment, t</w:t>
      </w:r>
      <w:r w:rsidR="004B0612">
        <w:rPr>
          <w:rFonts w:ascii="Arial" w:hAnsi="Arial" w:cs="Arial"/>
          <w:color w:val="000000"/>
        </w:rPr>
        <w:t xml:space="preserve">he court cited </w:t>
      </w:r>
      <w:proofErr w:type="spellStart"/>
      <w:r w:rsidR="001E282D" w:rsidRPr="001E282D">
        <w:rPr>
          <w:rFonts w:ascii="Arial" w:hAnsi="Arial" w:cs="Arial"/>
          <w:i/>
          <w:iCs/>
          <w:color w:val="000000"/>
        </w:rPr>
        <w:t>Sordi</w:t>
      </w:r>
      <w:proofErr w:type="spellEnd"/>
      <w:r w:rsidR="001E282D" w:rsidRPr="001E282D">
        <w:rPr>
          <w:rFonts w:ascii="Arial" w:hAnsi="Arial" w:cs="Arial"/>
          <w:i/>
          <w:iCs/>
          <w:color w:val="000000"/>
        </w:rPr>
        <w:t xml:space="preserve"> v. </w:t>
      </w:r>
      <w:proofErr w:type="spellStart"/>
      <w:r w:rsidR="001E282D" w:rsidRPr="001E282D">
        <w:rPr>
          <w:rFonts w:ascii="Arial" w:hAnsi="Arial" w:cs="Arial"/>
          <w:i/>
          <w:iCs/>
          <w:color w:val="000000"/>
        </w:rPr>
        <w:t>Sordi</w:t>
      </w:r>
      <w:proofErr w:type="spellEnd"/>
      <w:r w:rsidR="0078212E">
        <w:rPr>
          <w:rFonts w:ascii="Arial" w:hAnsi="Arial" w:cs="Arial"/>
          <w:color w:val="000000"/>
        </w:rPr>
        <w:t xml:space="preserve">, which was a 2011 </w:t>
      </w:r>
      <w:r w:rsidR="000E26A4">
        <w:rPr>
          <w:rFonts w:ascii="Arial" w:hAnsi="Arial" w:cs="Arial"/>
          <w:color w:val="000000"/>
        </w:rPr>
        <w:t xml:space="preserve">Ontario Court of </w:t>
      </w:r>
      <w:r w:rsidR="004B0612">
        <w:rPr>
          <w:rFonts w:ascii="Arial" w:hAnsi="Arial" w:cs="Arial"/>
          <w:color w:val="000000"/>
        </w:rPr>
        <w:t xml:space="preserve">Appeal decision </w:t>
      </w:r>
      <w:r w:rsidR="00353C0C">
        <w:rPr>
          <w:rFonts w:ascii="Arial" w:hAnsi="Arial" w:cs="Arial"/>
          <w:color w:val="000000"/>
        </w:rPr>
        <w:t xml:space="preserve">where a parent had appealed the trial judge’s decision not to admit a social worker’s critique of a court ordered custody and access assessment. </w:t>
      </w:r>
      <w:r w:rsidR="001E282D">
        <w:rPr>
          <w:rStyle w:val="FootnoteReference"/>
          <w:rFonts w:ascii="Arial" w:hAnsi="Arial" w:cs="Arial"/>
          <w:color w:val="000000"/>
        </w:rPr>
        <w:footnoteReference w:id="110"/>
      </w:r>
      <w:r w:rsidR="00FC3A33">
        <w:rPr>
          <w:rFonts w:ascii="Arial" w:hAnsi="Arial" w:cs="Arial"/>
          <w:color w:val="000000"/>
        </w:rPr>
        <w:t xml:space="preserve"> </w:t>
      </w:r>
      <w:r w:rsidR="005278CD">
        <w:rPr>
          <w:rFonts w:ascii="Arial" w:hAnsi="Arial" w:cs="Arial"/>
          <w:color w:val="000000"/>
        </w:rPr>
        <w:t xml:space="preserve"> </w:t>
      </w:r>
      <w:r w:rsidR="00B12300">
        <w:rPr>
          <w:rFonts w:ascii="Arial" w:hAnsi="Arial" w:cs="Arial"/>
          <w:color w:val="000000"/>
        </w:rPr>
        <w:t xml:space="preserve">  </w:t>
      </w:r>
      <w:r w:rsidR="00B10E5E">
        <w:rPr>
          <w:rFonts w:ascii="Arial" w:hAnsi="Arial" w:cs="Arial"/>
          <w:color w:val="000000"/>
        </w:rPr>
        <w:t>Justice Epstein, on the appeal</w:t>
      </w:r>
      <w:r w:rsidR="00D3335E">
        <w:rPr>
          <w:rFonts w:ascii="Arial" w:hAnsi="Arial" w:cs="Arial"/>
          <w:color w:val="000000"/>
        </w:rPr>
        <w:t xml:space="preserve"> in </w:t>
      </w:r>
      <w:proofErr w:type="spellStart"/>
      <w:r w:rsidR="00D3335E" w:rsidRPr="00D3335E">
        <w:rPr>
          <w:rFonts w:ascii="Arial" w:hAnsi="Arial" w:cs="Arial"/>
          <w:i/>
          <w:iCs/>
          <w:color w:val="000000"/>
        </w:rPr>
        <w:t>Sordi</w:t>
      </w:r>
      <w:proofErr w:type="spellEnd"/>
      <w:r w:rsidR="00D3335E" w:rsidRPr="00D3335E">
        <w:rPr>
          <w:rFonts w:ascii="Arial" w:hAnsi="Arial" w:cs="Arial"/>
          <w:i/>
          <w:iCs/>
          <w:color w:val="000000"/>
        </w:rPr>
        <w:t xml:space="preserve"> v. </w:t>
      </w:r>
      <w:proofErr w:type="spellStart"/>
      <w:r w:rsidR="00D3335E" w:rsidRPr="00D3335E">
        <w:rPr>
          <w:rFonts w:ascii="Arial" w:hAnsi="Arial" w:cs="Arial"/>
          <w:i/>
          <w:iCs/>
          <w:color w:val="000000"/>
        </w:rPr>
        <w:t>Sordi</w:t>
      </w:r>
      <w:proofErr w:type="spellEnd"/>
      <w:r w:rsidR="00B10E5E">
        <w:rPr>
          <w:rFonts w:ascii="Arial" w:hAnsi="Arial" w:cs="Arial"/>
          <w:color w:val="000000"/>
        </w:rPr>
        <w:t>, commented as follows:</w:t>
      </w:r>
      <w:r w:rsidR="000412C6">
        <w:rPr>
          <w:rStyle w:val="FootnoteReference"/>
          <w:rFonts w:ascii="Arial" w:hAnsi="Arial" w:cs="Arial"/>
          <w:color w:val="000000"/>
        </w:rPr>
        <w:footnoteReference w:id="111"/>
      </w:r>
    </w:p>
    <w:p w14:paraId="350090E3" w14:textId="2D009A4B" w:rsidR="003F7142" w:rsidRPr="003E483B" w:rsidRDefault="003F7142" w:rsidP="00487573">
      <w:pPr>
        <w:pStyle w:val="headingnumber"/>
        <w:spacing w:before="120" w:beforeAutospacing="0" w:after="120" w:afterAutospacing="0"/>
        <w:ind w:left="720"/>
        <w:rPr>
          <w:rFonts w:ascii="Arial" w:hAnsi="Arial" w:cs="Arial"/>
          <w:color w:val="000000"/>
        </w:rPr>
      </w:pPr>
      <w:r w:rsidRPr="003E483B">
        <w:rPr>
          <w:rFonts w:ascii="Arial" w:hAnsi="Arial" w:cs="Arial"/>
          <w:color w:val="000000"/>
        </w:rPr>
        <w:t xml:space="preserve">I find no fault with the trial judge’s refusal to admit the report </w:t>
      </w:r>
      <w:proofErr w:type="gramStart"/>
      <w:r w:rsidRPr="003E483B">
        <w:rPr>
          <w:rFonts w:ascii="Arial" w:hAnsi="Arial" w:cs="Arial"/>
          <w:color w:val="000000"/>
        </w:rPr>
        <w:t>on the basis of</w:t>
      </w:r>
      <w:proofErr w:type="gramEnd"/>
      <w:r w:rsidRPr="003E483B">
        <w:rPr>
          <w:rFonts w:ascii="Arial" w:hAnsi="Arial" w:cs="Arial"/>
          <w:color w:val="000000"/>
        </w:rPr>
        <w:t xml:space="preserve"> (1) its frailties, and (2) the fact that its value – to impeach the report of the court-appointed expert – remained available to the appellant through cross-examination and, ultimately, argument.   I strongly support the view expressed by Justice Wein in </w:t>
      </w:r>
      <w:r w:rsidRPr="003E483B">
        <w:rPr>
          <w:rFonts w:ascii="Arial" w:hAnsi="Arial" w:cs="Arial"/>
          <w:i/>
          <w:iCs/>
          <w:color w:val="000000"/>
        </w:rPr>
        <w:t>Mayfield v. Mayfield</w:t>
      </w:r>
      <w:r w:rsidRPr="003E483B">
        <w:rPr>
          <w:rFonts w:ascii="Arial" w:hAnsi="Arial" w:cs="Arial"/>
          <w:color w:val="000000"/>
        </w:rPr>
        <w:t> (2001), </w:t>
      </w:r>
      <w:hyperlink r:id="rId8" w:history="1">
        <w:r w:rsidRPr="000412C6">
          <w:rPr>
            <w:rStyle w:val="Hyperlink"/>
            <w:rFonts w:ascii="Arial" w:hAnsi="Arial" w:cs="Arial"/>
            <w:color w:val="auto"/>
          </w:rPr>
          <w:t>2001 CanLII 28213 (ON SC)</w:t>
        </w:r>
      </w:hyperlink>
      <w:r w:rsidRPr="000412C6">
        <w:rPr>
          <w:rFonts w:ascii="Arial" w:hAnsi="Arial" w:cs="Arial"/>
        </w:rPr>
        <w:t xml:space="preserve">, </w:t>
      </w:r>
      <w:r w:rsidRPr="003E483B">
        <w:rPr>
          <w:rFonts w:ascii="Arial" w:hAnsi="Arial" w:cs="Arial"/>
          <w:color w:val="000000"/>
        </w:rPr>
        <w:t>18 R.F.L. (5th) 328, at para</w:t>
      </w:r>
      <w:r w:rsidRPr="000412C6">
        <w:rPr>
          <w:rFonts w:ascii="Arial" w:hAnsi="Arial" w:cs="Arial"/>
        </w:rPr>
        <w:t>. </w:t>
      </w:r>
      <w:hyperlink r:id="rId9" w:anchor="par44" w:history="1">
        <w:r w:rsidRPr="000412C6">
          <w:rPr>
            <w:rStyle w:val="Hyperlink"/>
            <w:rFonts w:ascii="Arial" w:hAnsi="Arial" w:cs="Arial"/>
            <w:color w:val="auto"/>
          </w:rPr>
          <w:t>44</w:t>
        </w:r>
      </w:hyperlink>
      <w:r w:rsidRPr="003E483B">
        <w:rPr>
          <w:rFonts w:ascii="Arial" w:hAnsi="Arial" w:cs="Arial"/>
          <w:color w:val="000000"/>
        </w:rPr>
        <w:t> (Ont. S.C.), that</w:t>
      </w:r>
    </w:p>
    <w:p w14:paraId="71C32BE7" w14:textId="021E9F09" w:rsidR="003F7142" w:rsidRDefault="003F7142" w:rsidP="00124673">
      <w:pPr>
        <w:pStyle w:val="doubleindent-quote"/>
        <w:spacing w:before="120" w:beforeAutospacing="0" w:after="240" w:afterAutospacing="0"/>
        <w:ind w:left="1440" w:right="1440"/>
        <w:rPr>
          <w:rFonts w:ascii="Arial" w:hAnsi="Arial" w:cs="Arial"/>
          <w:color w:val="000000"/>
        </w:rPr>
      </w:pPr>
      <w:r w:rsidRPr="003E483B">
        <w:rPr>
          <w:rFonts w:ascii="Arial" w:hAnsi="Arial" w:cs="Arial"/>
          <w:color w:val="000000"/>
        </w:rPr>
        <w:t xml:space="preserve">in most cases, it is simply not necessary or appropriate to have the parties bring forward the evidence of a collateral critique. A social work critique may of course be done to assist counsel in formulating questions for cross-examination of the assessor or to assist counsel in developing an argument concerning the weight to be attached to an assessment </w:t>
      </w:r>
      <w:proofErr w:type="gramStart"/>
      <w:r w:rsidRPr="003E483B">
        <w:rPr>
          <w:rFonts w:ascii="Arial" w:hAnsi="Arial" w:cs="Arial"/>
          <w:color w:val="000000"/>
        </w:rPr>
        <w:t>report</w:t>
      </w:r>
      <w:proofErr w:type="gramEnd"/>
      <w:r w:rsidRPr="003E483B">
        <w:rPr>
          <w:rFonts w:ascii="Arial" w:hAnsi="Arial" w:cs="Arial"/>
          <w:color w:val="000000"/>
        </w:rPr>
        <w:t xml:space="preserve"> but it will rarely be “necessary” to introduce the critique as original evidence or to call the critique as a witness. The expense in most cases </w:t>
      </w:r>
      <w:r w:rsidRPr="003E483B">
        <w:rPr>
          <w:rFonts w:ascii="Arial" w:hAnsi="Arial" w:cs="Arial"/>
          <w:color w:val="000000"/>
        </w:rPr>
        <w:lastRenderedPageBreak/>
        <w:t>could be better spared or applied to an independent assessment.</w:t>
      </w:r>
    </w:p>
    <w:p w14:paraId="0B76C8CD" w14:textId="399E474E" w:rsidR="00C01BC5" w:rsidRDefault="00F56D6F" w:rsidP="00C01BC5">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Justice </w:t>
      </w:r>
      <w:r w:rsidR="00C740EA">
        <w:rPr>
          <w:rFonts w:ascii="Arial" w:hAnsi="Arial" w:cs="Arial"/>
          <w:color w:val="000000"/>
        </w:rPr>
        <w:t>Epst</w:t>
      </w:r>
      <w:r>
        <w:rPr>
          <w:rFonts w:ascii="Arial" w:hAnsi="Arial" w:cs="Arial"/>
          <w:color w:val="000000"/>
        </w:rPr>
        <w:t xml:space="preserve">ein’s point </w:t>
      </w:r>
      <w:r w:rsidR="00133B08">
        <w:rPr>
          <w:rFonts w:ascii="Arial" w:hAnsi="Arial" w:cs="Arial"/>
          <w:color w:val="000000"/>
        </w:rPr>
        <w:t xml:space="preserve">is illustrated </w:t>
      </w:r>
      <w:r w:rsidR="00C01BC5">
        <w:rPr>
          <w:rFonts w:ascii="Arial" w:hAnsi="Arial" w:cs="Arial"/>
          <w:color w:val="000000"/>
        </w:rPr>
        <w:t xml:space="preserve">in the </w:t>
      </w:r>
      <w:r w:rsidR="00C01BC5" w:rsidRPr="008C0BF1">
        <w:rPr>
          <w:rFonts w:ascii="Arial" w:hAnsi="Arial" w:cs="Arial"/>
          <w:i/>
          <w:iCs/>
          <w:color w:val="000000"/>
        </w:rPr>
        <w:t>Children’s Aid Society of the County of Simcoe and B.D. and S.S</w:t>
      </w:r>
      <w:r w:rsidR="00C01BC5">
        <w:rPr>
          <w:rFonts w:ascii="Arial" w:hAnsi="Arial" w:cs="Arial"/>
          <w:color w:val="000000"/>
        </w:rPr>
        <w:t xml:space="preserve">. </w:t>
      </w:r>
      <w:r w:rsidR="00D00C24">
        <w:rPr>
          <w:rFonts w:ascii="Arial" w:hAnsi="Arial" w:cs="Arial"/>
          <w:color w:val="000000"/>
        </w:rPr>
        <w:t xml:space="preserve">when the same parents </w:t>
      </w:r>
      <w:r w:rsidR="00C01BC5">
        <w:rPr>
          <w:rFonts w:ascii="Arial" w:hAnsi="Arial" w:cs="Arial"/>
          <w:color w:val="000000"/>
        </w:rPr>
        <w:t xml:space="preserve">were before the court again in relation to another child born in 2013.  Once again, the Society brought a summary judgment </w:t>
      </w:r>
      <w:proofErr w:type="gramStart"/>
      <w:r w:rsidR="00C01BC5">
        <w:rPr>
          <w:rFonts w:ascii="Arial" w:hAnsi="Arial" w:cs="Arial"/>
          <w:color w:val="000000"/>
        </w:rPr>
        <w:t>motion</w:t>
      </w:r>
      <w:proofErr w:type="gramEnd"/>
      <w:r w:rsidR="00C01BC5">
        <w:rPr>
          <w:rFonts w:ascii="Arial" w:hAnsi="Arial" w:cs="Arial"/>
          <w:color w:val="000000"/>
        </w:rPr>
        <w:t xml:space="preserve"> and the court made the statutory and protection findings but scheduled a trial for the disposition ruling</w:t>
      </w:r>
      <w:r w:rsidR="00C91F45">
        <w:rPr>
          <w:rFonts w:ascii="Arial" w:hAnsi="Arial" w:cs="Arial"/>
          <w:color w:val="000000"/>
        </w:rPr>
        <w:t xml:space="preserve"> in order</w:t>
      </w:r>
      <w:r w:rsidR="00C01BC5">
        <w:rPr>
          <w:rFonts w:ascii="Arial" w:hAnsi="Arial" w:cs="Arial"/>
          <w:color w:val="000000"/>
        </w:rPr>
        <w:t xml:space="preserve"> to allow time for Dr. Peter Marshall to conduct a</w:t>
      </w:r>
      <w:r w:rsidR="00FE77A5">
        <w:rPr>
          <w:rFonts w:ascii="Arial" w:hAnsi="Arial" w:cs="Arial"/>
          <w:color w:val="000000"/>
        </w:rPr>
        <w:t xml:space="preserve"> second</w:t>
      </w:r>
      <w:r w:rsidR="00C01BC5">
        <w:rPr>
          <w:rFonts w:ascii="Arial" w:hAnsi="Arial" w:cs="Arial"/>
          <w:color w:val="000000"/>
        </w:rPr>
        <w:t xml:space="preserve"> full parenting capacity assessment</w:t>
      </w:r>
      <w:r w:rsidR="00945BB7">
        <w:rPr>
          <w:rFonts w:ascii="Arial" w:hAnsi="Arial" w:cs="Arial"/>
          <w:color w:val="000000"/>
        </w:rPr>
        <w:t xml:space="preserve"> to augment his</w:t>
      </w:r>
      <w:r w:rsidR="00B96C16">
        <w:rPr>
          <w:rFonts w:ascii="Arial" w:hAnsi="Arial" w:cs="Arial"/>
          <w:color w:val="000000"/>
        </w:rPr>
        <w:t xml:space="preserve"> p</w:t>
      </w:r>
      <w:r w:rsidR="00306151">
        <w:rPr>
          <w:rFonts w:ascii="Arial" w:hAnsi="Arial" w:cs="Arial"/>
          <w:color w:val="000000"/>
        </w:rPr>
        <w:t>revious</w:t>
      </w:r>
      <w:r w:rsidR="00945BB7">
        <w:rPr>
          <w:rFonts w:ascii="Arial" w:hAnsi="Arial" w:cs="Arial"/>
          <w:color w:val="000000"/>
        </w:rPr>
        <w:t xml:space="preserve"> critique</w:t>
      </w:r>
      <w:r w:rsidR="00306151">
        <w:rPr>
          <w:rFonts w:ascii="Arial" w:hAnsi="Arial" w:cs="Arial"/>
          <w:color w:val="000000"/>
        </w:rPr>
        <w:t xml:space="preserve"> report</w:t>
      </w:r>
      <w:r w:rsidR="00CA4A7D">
        <w:rPr>
          <w:rFonts w:ascii="Arial" w:hAnsi="Arial" w:cs="Arial"/>
          <w:color w:val="000000"/>
        </w:rPr>
        <w:t xml:space="preserve"> and narrowly focused psychological assessment of the parents</w:t>
      </w:r>
      <w:r w:rsidR="00C01BC5">
        <w:rPr>
          <w:rFonts w:ascii="Arial" w:hAnsi="Arial" w:cs="Arial"/>
          <w:color w:val="000000"/>
        </w:rPr>
        <w:t>.  Th</w:t>
      </w:r>
      <w:r w:rsidR="00556D8C">
        <w:rPr>
          <w:rFonts w:ascii="Arial" w:hAnsi="Arial" w:cs="Arial"/>
          <w:color w:val="000000"/>
        </w:rPr>
        <w:t>is</w:t>
      </w:r>
      <w:r w:rsidR="00C911C6">
        <w:rPr>
          <w:rFonts w:ascii="Arial" w:hAnsi="Arial" w:cs="Arial"/>
          <w:color w:val="000000"/>
        </w:rPr>
        <w:t xml:space="preserve"> full</w:t>
      </w:r>
      <w:r w:rsidR="00C01BC5">
        <w:rPr>
          <w:rFonts w:ascii="Arial" w:hAnsi="Arial" w:cs="Arial"/>
          <w:color w:val="000000"/>
        </w:rPr>
        <w:t xml:space="preserve"> </w:t>
      </w:r>
      <w:r w:rsidR="0025545B">
        <w:rPr>
          <w:rFonts w:ascii="Arial" w:hAnsi="Arial" w:cs="Arial"/>
          <w:color w:val="000000"/>
        </w:rPr>
        <w:t xml:space="preserve">parenting capacity </w:t>
      </w:r>
      <w:r w:rsidR="00C01BC5">
        <w:rPr>
          <w:rFonts w:ascii="Arial" w:hAnsi="Arial" w:cs="Arial"/>
          <w:color w:val="000000"/>
        </w:rPr>
        <w:t>assessment was not favourable to the parents</w:t>
      </w:r>
      <w:r w:rsidR="0097206F">
        <w:rPr>
          <w:rFonts w:ascii="Arial" w:hAnsi="Arial" w:cs="Arial"/>
          <w:color w:val="000000"/>
        </w:rPr>
        <w:t xml:space="preserve"> and </w:t>
      </w:r>
      <w:r w:rsidR="00CB3AAB">
        <w:rPr>
          <w:rFonts w:ascii="Arial" w:hAnsi="Arial" w:cs="Arial"/>
          <w:color w:val="000000"/>
        </w:rPr>
        <w:t>corroborated the findings of the CAAP assessment report</w:t>
      </w:r>
      <w:r w:rsidR="00255CCB">
        <w:rPr>
          <w:rFonts w:ascii="Arial" w:hAnsi="Arial" w:cs="Arial"/>
          <w:color w:val="000000"/>
        </w:rPr>
        <w:t xml:space="preserve"> which </w:t>
      </w:r>
      <w:r w:rsidR="00C740EA">
        <w:rPr>
          <w:rFonts w:ascii="Arial" w:hAnsi="Arial" w:cs="Arial"/>
          <w:color w:val="000000"/>
        </w:rPr>
        <w:t>Dr. Marshall</w:t>
      </w:r>
      <w:r w:rsidR="00255CCB">
        <w:rPr>
          <w:rFonts w:ascii="Arial" w:hAnsi="Arial" w:cs="Arial"/>
          <w:color w:val="000000"/>
        </w:rPr>
        <w:t xml:space="preserve"> had previously critiqued</w:t>
      </w:r>
      <w:r w:rsidR="00CB3AAB">
        <w:rPr>
          <w:rFonts w:ascii="Arial" w:hAnsi="Arial" w:cs="Arial"/>
          <w:color w:val="000000"/>
        </w:rPr>
        <w:t xml:space="preserve">.  </w:t>
      </w:r>
      <w:r w:rsidR="00C740EA">
        <w:rPr>
          <w:rFonts w:ascii="Arial" w:hAnsi="Arial" w:cs="Arial"/>
          <w:color w:val="000000"/>
        </w:rPr>
        <w:t>After this report was produced, t</w:t>
      </w:r>
      <w:r w:rsidR="0097206F">
        <w:rPr>
          <w:rFonts w:ascii="Arial" w:hAnsi="Arial" w:cs="Arial"/>
          <w:color w:val="000000"/>
        </w:rPr>
        <w:t xml:space="preserve">he parents </w:t>
      </w:r>
      <w:r w:rsidR="00EC1F06">
        <w:rPr>
          <w:rFonts w:ascii="Arial" w:hAnsi="Arial" w:cs="Arial"/>
          <w:color w:val="000000"/>
        </w:rPr>
        <w:t xml:space="preserve">consented </w:t>
      </w:r>
      <w:r w:rsidR="000115B4">
        <w:rPr>
          <w:rFonts w:ascii="Arial" w:hAnsi="Arial" w:cs="Arial"/>
          <w:color w:val="000000"/>
        </w:rPr>
        <w:t xml:space="preserve">to a final order of Crown Wardship </w:t>
      </w:r>
      <w:r w:rsidR="0094162C">
        <w:rPr>
          <w:rFonts w:ascii="Arial" w:hAnsi="Arial" w:cs="Arial"/>
          <w:color w:val="000000"/>
        </w:rPr>
        <w:t xml:space="preserve">for the purposes of adoption </w:t>
      </w:r>
      <w:r w:rsidR="00C24D43">
        <w:rPr>
          <w:rFonts w:ascii="Arial" w:hAnsi="Arial" w:cs="Arial"/>
          <w:color w:val="000000"/>
        </w:rPr>
        <w:t>with an agreement for some level of openness</w:t>
      </w:r>
      <w:r w:rsidR="00EB433A">
        <w:rPr>
          <w:rFonts w:ascii="Arial" w:hAnsi="Arial" w:cs="Arial"/>
          <w:color w:val="000000"/>
        </w:rPr>
        <w:t xml:space="preserve"> between them and the child</w:t>
      </w:r>
      <w:r w:rsidR="00C24D43">
        <w:rPr>
          <w:rFonts w:ascii="Arial" w:hAnsi="Arial" w:cs="Arial"/>
          <w:color w:val="000000"/>
        </w:rPr>
        <w:t>.</w:t>
      </w:r>
      <w:r w:rsidR="006052CB">
        <w:rPr>
          <w:rStyle w:val="FootnoteReference"/>
          <w:rFonts w:ascii="Arial" w:hAnsi="Arial" w:cs="Arial"/>
          <w:color w:val="000000"/>
        </w:rPr>
        <w:footnoteReference w:id="112"/>
      </w:r>
    </w:p>
    <w:p w14:paraId="711BB07D" w14:textId="496D773A" w:rsidR="00091290" w:rsidRDefault="00C96708" w:rsidP="00475B9B">
      <w:pPr>
        <w:pStyle w:val="doubleindent-quote"/>
        <w:spacing w:before="120" w:beforeAutospacing="0" w:after="240" w:afterAutospacing="0"/>
        <w:ind w:right="-23"/>
        <w:rPr>
          <w:rFonts w:ascii="Arial" w:hAnsi="Arial" w:cs="Arial"/>
          <w:color w:val="000000"/>
        </w:rPr>
      </w:pPr>
      <w:r>
        <w:rPr>
          <w:rFonts w:ascii="Arial" w:hAnsi="Arial" w:cs="Arial"/>
          <w:color w:val="000000"/>
        </w:rPr>
        <w:t xml:space="preserve">In the current regulatory vacuum, it is understandable that </w:t>
      </w:r>
      <w:r w:rsidR="00BB289F">
        <w:rPr>
          <w:rFonts w:ascii="Arial" w:hAnsi="Arial" w:cs="Arial"/>
          <w:color w:val="000000"/>
        </w:rPr>
        <w:t>courts want to find a way to analyze the me</w:t>
      </w:r>
      <w:r w:rsidR="00F36655">
        <w:rPr>
          <w:rFonts w:ascii="Arial" w:hAnsi="Arial" w:cs="Arial"/>
          <w:color w:val="000000"/>
        </w:rPr>
        <w:t xml:space="preserve">thodology </w:t>
      </w:r>
      <w:r w:rsidR="00A87ECF">
        <w:rPr>
          <w:rFonts w:ascii="Arial" w:hAnsi="Arial" w:cs="Arial"/>
          <w:color w:val="000000"/>
        </w:rPr>
        <w:t>employed by</w:t>
      </w:r>
      <w:r w:rsidR="00F36655">
        <w:rPr>
          <w:rFonts w:ascii="Arial" w:hAnsi="Arial" w:cs="Arial"/>
          <w:color w:val="000000"/>
        </w:rPr>
        <w:t xml:space="preserve"> a</w:t>
      </w:r>
      <w:r w:rsidR="00A87ECF">
        <w:rPr>
          <w:rFonts w:ascii="Arial" w:hAnsi="Arial" w:cs="Arial"/>
          <w:color w:val="000000"/>
        </w:rPr>
        <w:t xml:space="preserve"> particular</w:t>
      </w:r>
      <w:r w:rsidR="00F36655">
        <w:rPr>
          <w:rFonts w:ascii="Arial" w:hAnsi="Arial" w:cs="Arial"/>
          <w:color w:val="000000"/>
        </w:rPr>
        <w:t xml:space="preserve"> assessor.  </w:t>
      </w:r>
      <w:r w:rsidR="001B6823">
        <w:rPr>
          <w:rFonts w:ascii="Arial" w:hAnsi="Arial" w:cs="Arial"/>
          <w:color w:val="000000"/>
        </w:rPr>
        <w:t xml:space="preserve">An alternative to a critique </w:t>
      </w:r>
      <w:r w:rsidR="00E915EA">
        <w:rPr>
          <w:rFonts w:ascii="Arial" w:hAnsi="Arial" w:cs="Arial"/>
          <w:color w:val="000000"/>
        </w:rPr>
        <w:t xml:space="preserve">is </w:t>
      </w:r>
      <w:r w:rsidR="000A3196">
        <w:rPr>
          <w:rFonts w:ascii="Arial" w:hAnsi="Arial" w:cs="Arial"/>
          <w:color w:val="000000"/>
        </w:rPr>
        <w:t>a second opinion parenting capacity assessment</w:t>
      </w:r>
      <w:r w:rsidR="00E915EA">
        <w:rPr>
          <w:rFonts w:ascii="Arial" w:hAnsi="Arial" w:cs="Arial"/>
          <w:color w:val="000000"/>
        </w:rPr>
        <w:t xml:space="preserve">.  This </w:t>
      </w:r>
      <w:r w:rsidR="00A87ECF">
        <w:rPr>
          <w:rFonts w:ascii="Arial" w:hAnsi="Arial" w:cs="Arial"/>
          <w:color w:val="000000"/>
        </w:rPr>
        <w:t>may</w:t>
      </w:r>
      <w:r w:rsidR="00C747BC">
        <w:rPr>
          <w:rFonts w:ascii="Arial" w:hAnsi="Arial" w:cs="Arial"/>
          <w:color w:val="000000"/>
        </w:rPr>
        <w:t xml:space="preserve"> be preferable </w:t>
      </w:r>
      <w:r w:rsidR="00372F74">
        <w:rPr>
          <w:rFonts w:ascii="Arial" w:hAnsi="Arial" w:cs="Arial"/>
          <w:color w:val="000000"/>
        </w:rPr>
        <w:t xml:space="preserve">to a critique </w:t>
      </w:r>
      <w:r w:rsidR="00C747BC">
        <w:rPr>
          <w:rFonts w:ascii="Arial" w:hAnsi="Arial" w:cs="Arial"/>
          <w:color w:val="000000"/>
        </w:rPr>
        <w:t xml:space="preserve">in cases where there are possible concerns about the methodology </w:t>
      </w:r>
      <w:r w:rsidR="006732A9">
        <w:rPr>
          <w:rFonts w:ascii="Arial" w:hAnsi="Arial" w:cs="Arial"/>
          <w:color w:val="000000"/>
        </w:rPr>
        <w:t xml:space="preserve">or </w:t>
      </w:r>
      <w:r w:rsidR="00372F74">
        <w:rPr>
          <w:rFonts w:ascii="Arial" w:hAnsi="Arial" w:cs="Arial"/>
          <w:color w:val="000000"/>
        </w:rPr>
        <w:t xml:space="preserve">thoroughness of </w:t>
      </w:r>
      <w:r w:rsidR="00194198">
        <w:rPr>
          <w:rFonts w:ascii="Arial" w:hAnsi="Arial" w:cs="Arial"/>
          <w:color w:val="000000"/>
        </w:rPr>
        <w:t xml:space="preserve">the first </w:t>
      </w:r>
      <w:r w:rsidR="000E7CFB">
        <w:rPr>
          <w:rFonts w:ascii="Arial" w:hAnsi="Arial" w:cs="Arial"/>
          <w:color w:val="000000"/>
        </w:rPr>
        <w:t xml:space="preserve">parenting capacity </w:t>
      </w:r>
      <w:r w:rsidR="00194198">
        <w:rPr>
          <w:rFonts w:ascii="Arial" w:hAnsi="Arial" w:cs="Arial"/>
          <w:color w:val="000000"/>
        </w:rPr>
        <w:t xml:space="preserve">assessor.  </w:t>
      </w:r>
    </w:p>
    <w:p w14:paraId="696EA861" w14:textId="1C9271B7" w:rsidR="00084D57" w:rsidRDefault="001A0355" w:rsidP="00475B9B">
      <w:pPr>
        <w:pStyle w:val="doubleindent-quote"/>
        <w:spacing w:before="120" w:beforeAutospacing="0" w:after="240" w:afterAutospacing="0"/>
        <w:ind w:right="-23"/>
        <w:rPr>
          <w:rFonts w:ascii="Arial" w:hAnsi="Arial" w:cs="Arial"/>
          <w:color w:val="000000"/>
        </w:rPr>
      </w:pPr>
      <w:r>
        <w:rPr>
          <w:rFonts w:ascii="Arial" w:hAnsi="Arial" w:cs="Arial"/>
          <w:color w:val="000000"/>
        </w:rPr>
        <w:t>A second full assessment by a neutral, impartial assessor</w:t>
      </w:r>
      <w:r w:rsidR="00072538">
        <w:rPr>
          <w:rFonts w:ascii="Arial" w:hAnsi="Arial" w:cs="Arial"/>
          <w:color w:val="000000"/>
        </w:rPr>
        <w:t xml:space="preserve"> would address concerns </w:t>
      </w:r>
      <w:r w:rsidR="007E30F2">
        <w:rPr>
          <w:rFonts w:ascii="Arial" w:hAnsi="Arial" w:cs="Arial"/>
          <w:color w:val="000000"/>
        </w:rPr>
        <w:t xml:space="preserve">about the lack of </w:t>
      </w:r>
      <w:r w:rsidR="005B6F65">
        <w:rPr>
          <w:rFonts w:ascii="Arial" w:hAnsi="Arial" w:cs="Arial"/>
          <w:color w:val="000000"/>
        </w:rPr>
        <w:t xml:space="preserve">reliability inherent in admitting opinion evidence from a psychologist who has never </w:t>
      </w:r>
      <w:r w:rsidR="002F3E55">
        <w:rPr>
          <w:rFonts w:ascii="Arial" w:hAnsi="Arial" w:cs="Arial"/>
          <w:color w:val="000000"/>
        </w:rPr>
        <w:t>met or observed the parents and children</w:t>
      </w:r>
      <w:r w:rsidR="004E6C26">
        <w:rPr>
          <w:rFonts w:ascii="Arial" w:hAnsi="Arial" w:cs="Arial"/>
          <w:color w:val="000000"/>
        </w:rPr>
        <w:t xml:space="preserve"> but is asked only to review the quality of another assessor’s work.</w:t>
      </w:r>
      <w:r w:rsidR="004854C5">
        <w:rPr>
          <w:rFonts w:ascii="Arial" w:hAnsi="Arial" w:cs="Arial"/>
          <w:color w:val="000000"/>
        </w:rPr>
        <w:t xml:space="preserve">  In the absence of any clear </w:t>
      </w:r>
      <w:r w:rsidR="00A87ECF">
        <w:rPr>
          <w:rFonts w:ascii="Arial" w:hAnsi="Arial" w:cs="Arial"/>
          <w:color w:val="000000"/>
        </w:rPr>
        <w:t xml:space="preserve">universal </w:t>
      </w:r>
      <w:r w:rsidR="004854C5">
        <w:rPr>
          <w:rFonts w:ascii="Arial" w:hAnsi="Arial" w:cs="Arial"/>
          <w:color w:val="000000"/>
        </w:rPr>
        <w:t xml:space="preserve">standards for </w:t>
      </w:r>
      <w:r w:rsidR="00A87ECF">
        <w:rPr>
          <w:rFonts w:ascii="Arial" w:hAnsi="Arial" w:cs="Arial"/>
          <w:color w:val="000000"/>
        </w:rPr>
        <w:t xml:space="preserve">the conduct of </w:t>
      </w:r>
      <w:r w:rsidR="004854C5">
        <w:rPr>
          <w:rFonts w:ascii="Arial" w:hAnsi="Arial" w:cs="Arial"/>
          <w:color w:val="000000"/>
        </w:rPr>
        <w:t xml:space="preserve">a parenting capacity assessment, many competent assessors may have reasonable disagreements </w:t>
      </w:r>
      <w:r w:rsidR="006071FA">
        <w:rPr>
          <w:rFonts w:ascii="Arial" w:hAnsi="Arial" w:cs="Arial"/>
          <w:color w:val="000000"/>
        </w:rPr>
        <w:t>on aspects of the methodology</w:t>
      </w:r>
      <w:r w:rsidR="00704C4D">
        <w:rPr>
          <w:rFonts w:ascii="Arial" w:hAnsi="Arial" w:cs="Arial"/>
          <w:color w:val="000000"/>
        </w:rPr>
        <w:t>,</w:t>
      </w:r>
      <w:r w:rsidR="003929C8">
        <w:rPr>
          <w:rFonts w:ascii="Arial" w:hAnsi="Arial" w:cs="Arial"/>
          <w:color w:val="000000"/>
        </w:rPr>
        <w:t xml:space="preserve"> even in cases where there might be agreement on the conclusions and findings</w:t>
      </w:r>
      <w:r w:rsidR="005552DE">
        <w:rPr>
          <w:rFonts w:ascii="Arial" w:hAnsi="Arial" w:cs="Arial"/>
          <w:color w:val="000000"/>
        </w:rPr>
        <w:t xml:space="preserve"> related to the capacity of the parent</w:t>
      </w:r>
      <w:r w:rsidR="003929C8">
        <w:rPr>
          <w:rFonts w:ascii="Arial" w:hAnsi="Arial" w:cs="Arial"/>
          <w:color w:val="000000"/>
        </w:rPr>
        <w:t>.</w:t>
      </w:r>
      <w:r w:rsidR="005B6F65">
        <w:rPr>
          <w:rFonts w:ascii="Arial" w:hAnsi="Arial" w:cs="Arial"/>
          <w:color w:val="000000"/>
        </w:rPr>
        <w:t xml:space="preserve"> </w:t>
      </w:r>
      <w:r w:rsidR="00115637">
        <w:rPr>
          <w:rFonts w:ascii="Arial" w:hAnsi="Arial" w:cs="Arial"/>
          <w:color w:val="000000"/>
        </w:rPr>
        <w:t xml:space="preserve">There is a danger that a </w:t>
      </w:r>
      <w:r w:rsidR="00423065">
        <w:rPr>
          <w:rFonts w:ascii="Arial" w:hAnsi="Arial" w:cs="Arial"/>
          <w:color w:val="000000"/>
        </w:rPr>
        <w:t xml:space="preserve">critique </w:t>
      </w:r>
      <w:r w:rsidR="00A9196B">
        <w:rPr>
          <w:rFonts w:ascii="Arial" w:hAnsi="Arial" w:cs="Arial"/>
          <w:color w:val="000000"/>
        </w:rPr>
        <w:t xml:space="preserve">report may simply </w:t>
      </w:r>
      <w:r w:rsidR="0069316D">
        <w:rPr>
          <w:rFonts w:ascii="Arial" w:hAnsi="Arial" w:cs="Arial"/>
          <w:color w:val="000000"/>
        </w:rPr>
        <w:t xml:space="preserve">waste time and add to the expense of a trial by raising </w:t>
      </w:r>
      <w:r w:rsidR="00A9196B">
        <w:rPr>
          <w:rFonts w:ascii="Arial" w:hAnsi="Arial" w:cs="Arial"/>
          <w:color w:val="000000"/>
        </w:rPr>
        <w:t xml:space="preserve">doubt </w:t>
      </w:r>
      <w:r w:rsidR="00B71EC2">
        <w:rPr>
          <w:rFonts w:ascii="Arial" w:hAnsi="Arial" w:cs="Arial"/>
          <w:color w:val="000000"/>
        </w:rPr>
        <w:t xml:space="preserve">in the </w:t>
      </w:r>
      <w:r w:rsidR="0067200F">
        <w:rPr>
          <w:rFonts w:ascii="Arial" w:hAnsi="Arial" w:cs="Arial"/>
          <w:color w:val="000000"/>
        </w:rPr>
        <w:t xml:space="preserve">mind of the trial judge </w:t>
      </w:r>
      <w:r w:rsidR="00F14BDB">
        <w:rPr>
          <w:rFonts w:ascii="Arial" w:hAnsi="Arial" w:cs="Arial"/>
          <w:color w:val="000000"/>
        </w:rPr>
        <w:t xml:space="preserve">without offering any meaningful </w:t>
      </w:r>
      <w:r w:rsidR="001003F8">
        <w:rPr>
          <w:rFonts w:ascii="Arial" w:hAnsi="Arial" w:cs="Arial"/>
          <w:color w:val="000000"/>
        </w:rPr>
        <w:t xml:space="preserve">adjudicative </w:t>
      </w:r>
      <w:r w:rsidR="00F14BDB">
        <w:rPr>
          <w:rFonts w:ascii="Arial" w:hAnsi="Arial" w:cs="Arial"/>
          <w:color w:val="000000"/>
        </w:rPr>
        <w:t xml:space="preserve">assistance </w:t>
      </w:r>
      <w:r w:rsidR="00397F98">
        <w:rPr>
          <w:rFonts w:ascii="Arial" w:hAnsi="Arial" w:cs="Arial"/>
          <w:color w:val="000000"/>
        </w:rPr>
        <w:t>on</w:t>
      </w:r>
      <w:r w:rsidR="002E3A75">
        <w:rPr>
          <w:rFonts w:ascii="Arial" w:hAnsi="Arial" w:cs="Arial"/>
          <w:color w:val="000000"/>
        </w:rPr>
        <w:t xml:space="preserve"> the central issue before the court</w:t>
      </w:r>
      <w:r w:rsidR="00E92AC1">
        <w:rPr>
          <w:rFonts w:ascii="Arial" w:hAnsi="Arial" w:cs="Arial"/>
          <w:color w:val="000000"/>
        </w:rPr>
        <w:t>:</w:t>
      </w:r>
      <w:r w:rsidR="00A87ECF">
        <w:rPr>
          <w:rFonts w:ascii="Arial" w:hAnsi="Arial" w:cs="Arial"/>
          <w:color w:val="000000"/>
        </w:rPr>
        <w:t xml:space="preserve"> namely,</w:t>
      </w:r>
      <w:r w:rsidR="002E3A75">
        <w:rPr>
          <w:rFonts w:ascii="Arial" w:hAnsi="Arial" w:cs="Arial"/>
          <w:color w:val="000000"/>
        </w:rPr>
        <w:t xml:space="preserve"> can this parent meet the needs of this child.  </w:t>
      </w:r>
      <w:r w:rsidR="00AB40F5">
        <w:rPr>
          <w:rFonts w:ascii="Arial" w:hAnsi="Arial" w:cs="Arial"/>
          <w:color w:val="000000"/>
        </w:rPr>
        <w:t xml:space="preserve"> </w:t>
      </w:r>
    </w:p>
    <w:p w14:paraId="20A974FA" w14:textId="4708EA57" w:rsidR="003F6559" w:rsidRPr="007A6377" w:rsidRDefault="007A6377" w:rsidP="00372F01">
      <w:pPr>
        <w:pStyle w:val="doubleindent-quote"/>
        <w:spacing w:before="120" w:beforeAutospacing="0" w:after="240" w:afterAutospacing="0"/>
        <w:ind w:right="-23"/>
        <w:rPr>
          <w:rFonts w:ascii="Arial" w:hAnsi="Arial" w:cs="Arial"/>
          <w:b/>
          <w:bCs/>
          <w:color w:val="000000"/>
        </w:rPr>
      </w:pPr>
      <w:r w:rsidRPr="007A6377">
        <w:rPr>
          <w:rFonts w:ascii="Arial" w:hAnsi="Arial" w:cs="Arial"/>
          <w:b/>
          <w:bCs/>
          <w:color w:val="000000"/>
        </w:rPr>
        <w:t>Conclusion</w:t>
      </w:r>
    </w:p>
    <w:p w14:paraId="5E5CEFB2" w14:textId="124C4B95" w:rsidR="00FD38D7" w:rsidRDefault="00326167" w:rsidP="007A6377">
      <w:pPr>
        <w:rPr>
          <w:rFonts w:ascii="Arial" w:hAnsi="Arial" w:cs="Arial"/>
          <w:sz w:val="24"/>
          <w:szCs w:val="24"/>
        </w:rPr>
      </w:pPr>
      <w:r>
        <w:rPr>
          <w:rFonts w:ascii="Arial" w:hAnsi="Arial" w:cs="Arial"/>
          <w:sz w:val="24"/>
          <w:szCs w:val="24"/>
        </w:rPr>
        <w:t xml:space="preserve">Despite </w:t>
      </w:r>
      <w:r w:rsidR="00865632">
        <w:rPr>
          <w:rFonts w:ascii="Arial" w:hAnsi="Arial" w:cs="Arial"/>
          <w:sz w:val="24"/>
          <w:szCs w:val="24"/>
        </w:rPr>
        <w:t xml:space="preserve">the challenges </w:t>
      </w:r>
      <w:r w:rsidR="004941D6">
        <w:rPr>
          <w:rFonts w:ascii="Arial" w:hAnsi="Arial" w:cs="Arial"/>
          <w:sz w:val="24"/>
          <w:szCs w:val="24"/>
        </w:rPr>
        <w:t xml:space="preserve">in </w:t>
      </w:r>
      <w:r w:rsidR="00A93394">
        <w:rPr>
          <w:rFonts w:ascii="Arial" w:hAnsi="Arial" w:cs="Arial"/>
          <w:sz w:val="24"/>
          <w:szCs w:val="24"/>
        </w:rPr>
        <w:t xml:space="preserve">evaluating the </w:t>
      </w:r>
      <w:r w:rsidR="001E2061">
        <w:rPr>
          <w:rFonts w:ascii="Arial" w:hAnsi="Arial" w:cs="Arial"/>
          <w:sz w:val="24"/>
          <w:szCs w:val="24"/>
        </w:rPr>
        <w:t>inherent reliability</w:t>
      </w:r>
      <w:r w:rsidR="00A93394">
        <w:rPr>
          <w:rFonts w:ascii="Arial" w:hAnsi="Arial" w:cs="Arial"/>
          <w:sz w:val="24"/>
          <w:szCs w:val="24"/>
        </w:rPr>
        <w:t xml:space="preserve"> </w:t>
      </w:r>
      <w:r w:rsidR="001E2061">
        <w:rPr>
          <w:rFonts w:ascii="Arial" w:hAnsi="Arial" w:cs="Arial"/>
          <w:sz w:val="24"/>
          <w:szCs w:val="24"/>
        </w:rPr>
        <w:t>of</w:t>
      </w:r>
      <w:r w:rsidR="00A93394">
        <w:rPr>
          <w:rFonts w:ascii="Arial" w:hAnsi="Arial" w:cs="Arial"/>
          <w:sz w:val="24"/>
          <w:szCs w:val="24"/>
        </w:rPr>
        <w:t xml:space="preserve"> </w:t>
      </w:r>
      <w:r w:rsidR="001D4060">
        <w:rPr>
          <w:rFonts w:ascii="Arial" w:hAnsi="Arial" w:cs="Arial"/>
          <w:sz w:val="24"/>
          <w:szCs w:val="24"/>
        </w:rPr>
        <w:t>p</w:t>
      </w:r>
      <w:r w:rsidR="00A93394">
        <w:rPr>
          <w:rFonts w:ascii="Arial" w:hAnsi="Arial" w:cs="Arial"/>
          <w:sz w:val="24"/>
          <w:szCs w:val="24"/>
        </w:rPr>
        <w:t xml:space="preserve">arenting </w:t>
      </w:r>
      <w:r w:rsidR="001D4060">
        <w:rPr>
          <w:rFonts w:ascii="Arial" w:hAnsi="Arial" w:cs="Arial"/>
          <w:sz w:val="24"/>
          <w:szCs w:val="24"/>
        </w:rPr>
        <w:t>c</w:t>
      </w:r>
      <w:r w:rsidR="00A93394">
        <w:rPr>
          <w:rFonts w:ascii="Arial" w:hAnsi="Arial" w:cs="Arial"/>
          <w:sz w:val="24"/>
          <w:szCs w:val="24"/>
        </w:rPr>
        <w:t xml:space="preserve">apacity </w:t>
      </w:r>
      <w:r w:rsidR="001D4060">
        <w:rPr>
          <w:rFonts w:ascii="Arial" w:hAnsi="Arial" w:cs="Arial"/>
          <w:sz w:val="24"/>
          <w:szCs w:val="24"/>
        </w:rPr>
        <w:t>a</w:t>
      </w:r>
      <w:r w:rsidR="00A93394">
        <w:rPr>
          <w:rFonts w:ascii="Arial" w:hAnsi="Arial" w:cs="Arial"/>
          <w:sz w:val="24"/>
          <w:szCs w:val="24"/>
        </w:rPr>
        <w:t xml:space="preserve">ssessments, </w:t>
      </w:r>
      <w:r w:rsidR="00FC455D">
        <w:rPr>
          <w:rFonts w:ascii="Arial" w:hAnsi="Arial" w:cs="Arial"/>
          <w:sz w:val="24"/>
          <w:szCs w:val="24"/>
        </w:rPr>
        <w:t xml:space="preserve">this work has clear relevance to many </w:t>
      </w:r>
      <w:proofErr w:type="gramStart"/>
      <w:r w:rsidR="00FC455D">
        <w:rPr>
          <w:rFonts w:ascii="Arial" w:hAnsi="Arial" w:cs="Arial"/>
          <w:sz w:val="24"/>
          <w:szCs w:val="24"/>
        </w:rPr>
        <w:t>child</w:t>
      </w:r>
      <w:proofErr w:type="gramEnd"/>
      <w:r w:rsidR="00FC455D">
        <w:rPr>
          <w:rFonts w:ascii="Arial" w:hAnsi="Arial" w:cs="Arial"/>
          <w:sz w:val="24"/>
          <w:szCs w:val="24"/>
        </w:rPr>
        <w:t xml:space="preserve"> protection c</w:t>
      </w:r>
      <w:r w:rsidR="003A0CE4">
        <w:rPr>
          <w:rFonts w:ascii="Arial" w:hAnsi="Arial" w:cs="Arial"/>
          <w:sz w:val="24"/>
          <w:szCs w:val="24"/>
        </w:rPr>
        <w:t>ases</w:t>
      </w:r>
      <w:r w:rsidR="00FC455D">
        <w:rPr>
          <w:rFonts w:ascii="Arial" w:hAnsi="Arial" w:cs="Arial"/>
          <w:sz w:val="24"/>
          <w:szCs w:val="24"/>
        </w:rPr>
        <w:t xml:space="preserve">, particularly </w:t>
      </w:r>
      <w:r w:rsidR="00F77D30">
        <w:rPr>
          <w:rFonts w:ascii="Arial" w:hAnsi="Arial" w:cs="Arial"/>
          <w:sz w:val="24"/>
          <w:szCs w:val="24"/>
        </w:rPr>
        <w:t xml:space="preserve">where concerns of neglect and/or emotional harm are present.  </w:t>
      </w:r>
      <w:r w:rsidR="00725304">
        <w:rPr>
          <w:rFonts w:ascii="Arial" w:hAnsi="Arial" w:cs="Arial"/>
          <w:sz w:val="24"/>
          <w:szCs w:val="24"/>
        </w:rPr>
        <w:t>The</w:t>
      </w:r>
      <w:r w:rsidR="00AE0E87">
        <w:rPr>
          <w:rFonts w:ascii="Arial" w:hAnsi="Arial" w:cs="Arial"/>
          <w:sz w:val="24"/>
          <w:szCs w:val="24"/>
        </w:rPr>
        <w:t xml:space="preserve"> ne</w:t>
      </w:r>
      <w:r w:rsidR="00D12AD7">
        <w:rPr>
          <w:rFonts w:ascii="Arial" w:hAnsi="Arial" w:cs="Arial"/>
          <w:sz w:val="24"/>
          <w:szCs w:val="24"/>
        </w:rPr>
        <w:t>ed</w:t>
      </w:r>
      <w:r w:rsidR="00AE0E87">
        <w:rPr>
          <w:rFonts w:ascii="Arial" w:hAnsi="Arial" w:cs="Arial"/>
          <w:sz w:val="24"/>
          <w:szCs w:val="24"/>
        </w:rPr>
        <w:t xml:space="preserve"> for these assessments </w:t>
      </w:r>
      <w:r w:rsidR="00D12AD7">
        <w:rPr>
          <w:rFonts w:ascii="Arial" w:hAnsi="Arial" w:cs="Arial"/>
          <w:sz w:val="24"/>
          <w:szCs w:val="24"/>
        </w:rPr>
        <w:t xml:space="preserve">by courts and other child protection stakeholders </w:t>
      </w:r>
      <w:r w:rsidR="00AE0E87">
        <w:rPr>
          <w:rFonts w:ascii="Arial" w:hAnsi="Arial" w:cs="Arial"/>
          <w:sz w:val="24"/>
          <w:szCs w:val="24"/>
        </w:rPr>
        <w:t>is reflected in the existence</w:t>
      </w:r>
      <w:r w:rsidR="00D12AD7">
        <w:rPr>
          <w:rFonts w:ascii="Arial" w:hAnsi="Arial" w:cs="Arial"/>
          <w:sz w:val="24"/>
          <w:szCs w:val="24"/>
        </w:rPr>
        <w:t xml:space="preserve"> of statutory provisions and a</w:t>
      </w:r>
      <w:r w:rsidR="00F56A7C">
        <w:rPr>
          <w:rFonts w:ascii="Arial" w:hAnsi="Arial" w:cs="Arial"/>
          <w:sz w:val="24"/>
          <w:szCs w:val="24"/>
        </w:rPr>
        <w:t>n Ontario</w:t>
      </w:r>
      <w:r w:rsidR="00D12AD7">
        <w:rPr>
          <w:rFonts w:ascii="Arial" w:hAnsi="Arial" w:cs="Arial"/>
          <w:sz w:val="24"/>
          <w:szCs w:val="24"/>
        </w:rPr>
        <w:t xml:space="preserve"> regulation that supports this </w:t>
      </w:r>
      <w:r w:rsidR="00AC32F5">
        <w:rPr>
          <w:rFonts w:ascii="Arial" w:hAnsi="Arial" w:cs="Arial"/>
          <w:sz w:val="24"/>
          <w:szCs w:val="24"/>
        </w:rPr>
        <w:t xml:space="preserve">form of </w:t>
      </w:r>
      <w:r w:rsidR="00EE4D8D">
        <w:rPr>
          <w:rFonts w:ascii="Arial" w:hAnsi="Arial" w:cs="Arial"/>
          <w:sz w:val="24"/>
          <w:szCs w:val="24"/>
        </w:rPr>
        <w:t>forensic</w:t>
      </w:r>
      <w:r w:rsidR="00AC32F5">
        <w:rPr>
          <w:rFonts w:ascii="Arial" w:hAnsi="Arial" w:cs="Arial"/>
          <w:sz w:val="24"/>
          <w:szCs w:val="24"/>
        </w:rPr>
        <w:t xml:space="preserve"> evaluation.  </w:t>
      </w:r>
      <w:r w:rsidR="004A6620">
        <w:rPr>
          <w:rFonts w:ascii="Arial" w:hAnsi="Arial" w:cs="Arial"/>
          <w:sz w:val="24"/>
          <w:szCs w:val="24"/>
        </w:rPr>
        <w:t xml:space="preserve">There are many reported decisions where courts have found that these </w:t>
      </w:r>
      <w:r w:rsidR="00F51ACB">
        <w:rPr>
          <w:rFonts w:ascii="Arial" w:hAnsi="Arial" w:cs="Arial"/>
          <w:sz w:val="24"/>
          <w:szCs w:val="24"/>
        </w:rPr>
        <w:t>assessments were necessary to their determinations.</w:t>
      </w:r>
      <w:r w:rsidR="00D00739">
        <w:rPr>
          <w:rFonts w:ascii="Arial" w:hAnsi="Arial" w:cs="Arial"/>
          <w:sz w:val="24"/>
          <w:szCs w:val="24"/>
        </w:rPr>
        <w:t xml:space="preserve"> This is not surprising given the </w:t>
      </w:r>
      <w:r w:rsidR="00174E79">
        <w:rPr>
          <w:rFonts w:ascii="Arial" w:hAnsi="Arial" w:cs="Arial"/>
          <w:sz w:val="24"/>
          <w:szCs w:val="24"/>
        </w:rPr>
        <w:t>complex</w:t>
      </w:r>
      <w:r w:rsidR="003662E3">
        <w:rPr>
          <w:rFonts w:ascii="Arial" w:hAnsi="Arial" w:cs="Arial"/>
          <w:sz w:val="24"/>
          <w:szCs w:val="24"/>
        </w:rPr>
        <w:t xml:space="preserve"> variables present in many </w:t>
      </w:r>
      <w:proofErr w:type="gramStart"/>
      <w:r w:rsidR="00B12DDF">
        <w:rPr>
          <w:rFonts w:ascii="Arial" w:hAnsi="Arial" w:cs="Arial"/>
          <w:sz w:val="24"/>
          <w:szCs w:val="24"/>
        </w:rPr>
        <w:t>child</w:t>
      </w:r>
      <w:proofErr w:type="gramEnd"/>
      <w:r w:rsidR="00B12DDF">
        <w:rPr>
          <w:rFonts w:ascii="Arial" w:hAnsi="Arial" w:cs="Arial"/>
          <w:sz w:val="24"/>
          <w:szCs w:val="24"/>
        </w:rPr>
        <w:t xml:space="preserve"> protection cases, the </w:t>
      </w:r>
      <w:r w:rsidR="00735333">
        <w:rPr>
          <w:rFonts w:ascii="Arial" w:hAnsi="Arial" w:cs="Arial"/>
          <w:sz w:val="24"/>
          <w:szCs w:val="24"/>
        </w:rPr>
        <w:t xml:space="preserve">high stakes and </w:t>
      </w:r>
      <w:r w:rsidR="00735333">
        <w:rPr>
          <w:rFonts w:ascii="Arial" w:hAnsi="Arial" w:cs="Arial"/>
          <w:sz w:val="24"/>
          <w:szCs w:val="24"/>
        </w:rPr>
        <w:lastRenderedPageBreak/>
        <w:t>Charter implications to the parents</w:t>
      </w:r>
      <w:r w:rsidR="00E47E75">
        <w:rPr>
          <w:rFonts w:ascii="Arial" w:hAnsi="Arial" w:cs="Arial"/>
          <w:sz w:val="24"/>
          <w:szCs w:val="24"/>
        </w:rPr>
        <w:t>,</w:t>
      </w:r>
      <w:r w:rsidR="00174E79">
        <w:rPr>
          <w:rFonts w:ascii="Arial" w:hAnsi="Arial" w:cs="Arial"/>
          <w:sz w:val="24"/>
          <w:szCs w:val="24"/>
        </w:rPr>
        <w:t xml:space="preserve"> and </w:t>
      </w:r>
      <w:r w:rsidR="001D6231">
        <w:rPr>
          <w:rFonts w:ascii="Arial" w:hAnsi="Arial" w:cs="Arial"/>
          <w:sz w:val="24"/>
          <w:szCs w:val="24"/>
        </w:rPr>
        <w:t>a</w:t>
      </w:r>
      <w:r w:rsidR="00174E79">
        <w:rPr>
          <w:rFonts w:ascii="Arial" w:hAnsi="Arial" w:cs="Arial"/>
          <w:sz w:val="24"/>
          <w:szCs w:val="24"/>
        </w:rPr>
        <w:t xml:space="preserve"> corresponding concern about the potential </w:t>
      </w:r>
      <w:r w:rsidR="00046BA0">
        <w:rPr>
          <w:rFonts w:ascii="Arial" w:hAnsi="Arial" w:cs="Arial"/>
          <w:sz w:val="24"/>
          <w:szCs w:val="24"/>
        </w:rPr>
        <w:t xml:space="preserve">negative </w:t>
      </w:r>
      <w:r w:rsidR="00174E79">
        <w:rPr>
          <w:rFonts w:ascii="Arial" w:hAnsi="Arial" w:cs="Arial"/>
          <w:sz w:val="24"/>
          <w:szCs w:val="24"/>
        </w:rPr>
        <w:t xml:space="preserve">impact to a child if harmful parenting </w:t>
      </w:r>
      <w:r w:rsidR="00B12DDF">
        <w:rPr>
          <w:rFonts w:ascii="Arial" w:hAnsi="Arial" w:cs="Arial"/>
          <w:sz w:val="24"/>
          <w:szCs w:val="24"/>
        </w:rPr>
        <w:t>practices continue</w:t>
      </w:r>
      <w:r w:rsidR="00132E0B">
        <w:rPr>
          <w:rFonts w:ascii="Arial" w:hAnsi="Arial" w:cs="Arial"/>
          <w:sz w:val="24"/>
          <w:szCs w:val="24"/>
        </w:rPr>
        <w:t>.</w:t>
      </w:r>
    </w:p>
    <w:p w14:paraId="56325622" w14:textId="50EF615E" w:rsidR="00960BE5" w:rsidRDefault="00960BE5" w:rsidP="00960BE5">
      <w:pPr>
        <w:pStyle w:val="aparanumbering"/>
        <w:spacing w:before="120" w:beforeAutospacing="0" w:after="120" w:afterAutospacing="0"/>
        <w:jc w:val="both"/>
        <w:rPr>
          <w:rFonts w:ascii="Arial" w:hAnsi="Arial" w:cs="Arial"/>
          <w:color w:val="000000"/>
        </w:rPr>
      </w:pPr>
      <w:r>
        <w:rPr>
          <w:rFonts w:ascii="Arial" w:hAnsi="Arial" w:cs="Arial"/>
          <w:color w:val="000000"/>
        </w:rPr>
        <w:t xml:space="preserve">The judicial commentary in </w:t>
      </w:r>
      <w:r w:rsidRPr="00F8262E">
        <w:rPr>
          <w:rFonts w:ascii="Arial" w:hAnsi="Arial" w:cs="Arial"/>
          <w:i/>
          <w:iCs/>
          <w:color w:val="000000"/>
        </w:rPr>
        <w:t xml:space="preserve">Children’s Aid Society of Toronto v. </w:t>
      </w:r>
      <w:r w:rsidRPr="002136FE">
        <w:rPr>
          <w:rFonts w:ascii="Arial" w:hAnsi="Arial" w:cs="Arial"/>
          <w:i/>
          <w:iCs/>
          <w:color w:val="000000"/>
        </w:rPr>
        <w:t>A.L.</w:t>
      </w:r>
      <w:r>
        <w:rPr>
          <w:rFonts w:ascii="Arial" w:hAnsi="Arial" w:cs="Arial"/>
          <w:color w:val="000000"/>
        </w:rPr>
        <w:t xml:space="preserve"> underscores the </w:t>
      </w:r>
      <w:r w:rsidR="0082276C">
        <w:rPr>
          <w:rFonts w:ascii="Arial" w:hAnsi="Arial" w:cs="Arial"/>
          <w:color w:val="000000"/>
        </w:rPr>
        <w:t xml:space="preserve">current </w:t>
      </w:r>
      <w:r w:rsidR="00CA4134">
        <w:rPr>
          <w:rFonts w:ascii="Arial" w:hAnsi="Arial" w:cs="Arial"/>
          <w:color w:val="000000"/>
        </w:rPr>
        <w:t xml:space="preserve">lack </w:t>
      </w:r>
      <w:r>
        <w:rPr>
          <w:rFonts w:ascii="Arial" w:hAnsi="Arial" w:cs="Arial"/>
          <w:color w:val="000000"/>
        </w:rPr>
        <w:t xml:space="preserve">of professional forensic training and guidance for </w:t>
      </w:r>
      <w:r w:rsidR="00734107">
        <w:rPr>
          <w:rFonts w:ascii="Arial" w:hAnsi="Arial" w:cs="Arial"/>
          <w:color w:val="000000"/>
        </w:rPr>
        <w:t>assessors</w:t>
      </w:r>
      <w:r>
        <w:rPr>
          <w:rFonts w:ascii="Arial" w:hAnsi="Arial" w:cs="Arial"/>
          <w:color w:val="000000"/>
        </w:rPr>
        <w:t xml:space="preserve"> who do work in this area.  In the absence of training and oversight, it will remain difficult to find assessors who understand the forensic nature of the work, or the methodology that they should be following to protect the integrity and admissibility of their opinion evidence.  Further, in the absence of any standards or guidelines adopted by the regulatory agenc</w:t>
      </w:r>
      <w:r w:rsidR="00FB3E27">
        <w:rPr>
          <w:rFonts w:ascii="Arial" w:hAnsi="Arial" w:cs="Arial"/>
          <w:color w:val="000000"/>
        </w:rPr>
        <w:t>ies</w:t>
      </w:r>
      <w:r>
        <w:rPr>
          <w:rFonts w:ascii="Arial" w:hAnsi="Arial" w:cs="Arial"/>
          <w:color w:val="000000"/>
        </w:rPr>
        <w:t xml:space="preserve">, it will not be difficult for a critique assessor to find fault with a parenting capacity assessment report.  </w:t>
      </w:r>
      <w:r w:rsidR="00A9208E">
        <w:rPr>
          <w:rFonts w:ascii="Arial" w:hAnsi="Arial" w:cs="Arial"/>
          <w:color w:val="000000"/>
        </w:rPr>
        <w:t>These</w:t>
      </w:r>
      <w:r w:rsidR="004715F8">
        <w:rPr>
          <w:rFonts w:ascii="Arial" w:hAnsi="Arial" w:cs="Arial"/>
          <w:color w:val="000000"/>
        </w:rPr>
        <w:t xml:space="preserve"> assessment</w:t>
      </w:r>
      <w:r w:rsidR="00A9208E">
        <w:rPr>
          <w:rFonts w:ascii="Arial" w:hAnsi="Arial" w:cs="Arial"/>
          <w:color w:val="000000"/>
        </w:rPr>
        <w:t xml:space="preserve"> reports will continue to pose difficult challenges for courts and counsel.</w:t>
      </w:r>
    </w:p>
    <w:p w14:paraId="75FCD78A" w14:textId="77777777" w:rsidR="00721EDA" w:rsidRDefault="00245308" w:rsidP="00960BE5">
      <w:pPr>
        <w:pStyle w:val="aparanumbering"/>
        <w:spacing w:before="120" w:beforeAutospacing="0" w:after="120" w:afterAutospacing="0"/>
        <w:jc w:val="both"/>
        <w:rPr>
          <w:rFonts w:ascii="Arial" w:hAnsi="Arial" w:cs="Arial"/>
          <w:color w:val="000000"/>
        </w:rPr>
      </w:pPr>
      <w:r>
        <w:rPr>
          <w:rFonts w:ascii="Arial" w:hAnsi="Arial" w:cs="Arial"/>
          <w:color w:val="000000"/>
        </w:rPr>
        <w:t>In</w:t>
      </w:r>
      <w:r w:rsidR="00F14752">
        <w:rPr>
          <w:rFonts w:ascii="Arial" w:hAnsi="Arial" w:cs="Arial"/>
          <w:color w:val="000000"/>
        </w:rPr>
        <w:t xml:space="preserve"> </w:t>
      </w:r>
      <w:r>
        <w:rPr>
          <w:rFonts w:ascii="Arial" w:hAnsi="Arial" w:cs="Arial"/>
          <w:color w:val="000000"/>
        </w:rPr>
        <w:t xml:space="preserve">Toronto, there are only </w:t>
      </w:r>
      <w:r w:rsidR="00FA3E43">
        <w:rPr>
          <w:rFonts w:ascii="Arial" w:hAnsi="Arial" w:cs="Arial"/>
          <w:color w:val="000000"/>
        </w:rPr>
        <w:t>a handful of qualified assessors and most of them are near</w:t>
      </w:r>
      <w:r w:rsidR="008B1E9A">
        <w:rPr>
          <w:rFonts w:ascii="Arial" w:hAnsi="Arial" w:cs="Arial"/>
          <w:color w:val="000000"/>
        </w:rPr>
        <w:t xml:space="preserve">ing </w:t>
      </w:r>
      <w:r w:rsidR="00FA3E43">
        <w:rPr>
          <w:rFonts w:ascii="Arial" w:hAnsi="Arial" w:cs="Arial"/>
          <w:color w:val="000000"/>
        </w:rPr>
        <w:t>retirement</w:t>
      </w:r>
      <w:r w:rsidR="0060565E">
        <w:rPr>
          <w:rFonts w:ascii="Arial" w:hAnsi="Arial" w:cs="Arial"/>
          <w:color w:val="000000"/>
        </w:rPr>
        <w:t xml:space="preserve">. </w:t>
      </w:r>
      <w:r w:rsidR="00851A45">
        <w:rPr>
          <w:rFonts w:ascii="Arial" w:hAnsi="Arial" w:cs="Arial"/>
          <w:color w:val="000000"/>
        </w:rPr>
        <w:t xml:space="preserve"> Without a</w:t>
      </w:r>
      <w:r w:rsidR="00510A5F">
        <w:rPr>
          <w:rFonts w:ascii="Arial" w:hAnsi="Arial" w:cs="Arial"/>
          <w:color w:val="000000"/>
        </w:rPr>
        <w:t xml:space="preserve"> collaborative inter-disciplinary effort</w:t>
      </w:r>
      <w:r w:rsidR="001B3E34">
        <w:rPr>
          <w:rFonts w:ascii="Arial" w:hAnsi="Arial" w:cs="Arial"/>
          <w:color w:val="000000"/>
        </w:rPr>
        <w:t xml:space="preserve"> </w:t>
      </w:r>
      <w:r w:rsidR="002308A0">
        <w:rPr>
          <w:rFonts w:ascii="Arial" w:hAnsi="Arial" w:cs="Arial"/>
          <w:color w:val="000000"/>
        </w:rPr>
        <w:t xml:space="preserve">to </w:t>
      </w:r>
      <w:r w:rsidR="000328F1">
        <w:rPr>
          <w:rFonts w:ascii="Arial" w:hAnsi="Arial" w:cs="Arial"/>
          <w:color w:val="000000"/>
        </w:rPr>
        <w:t xml:space="preserve">address some of the valid concerns raised by the courts </w:t>
      </w:r>
      <w:r w:rsidR="00B8545F">
        <w:rPr>
          <w:rFonts w:ascii="Arial" w:hAnsi="Arial" w:cs="Arial"/>
          <w:color w:val="000000"/>
        </w:rPr>
        <w:t>o</w:t>
      </w:r>
      <w:r w:rsidR="00A27DCF">
        <w:rPr>
          <w:rFonts w:ascii="Arial" w:hAnsi="Arial" w:cs="Arial"/>
          <w:color w:val="000000"/>
        </w:rPr>
        <w:t xml:space="preserve">ur field is at risk of </w:t>
      </w:r>
      <w:r w:rsidR="001B3E34">
        <w:rPr>
          <w:rFonts w:ascii="Arial" w:hAnsi="Arial" w:cs="Arial"/>
          <w:color w:val="000000"/>
        </w:rPr>
        <w:t>los</w:t>
      </w:r>
      <w:r w:rsidR="00A27DCF">
        <w:rPr>
          <w:rFonts w:ascii="Arial" w:hAnsi="Arial" w:cs="Arial"/>
          <w:color w:val="000000"/>
        </w:rPr>
        <w:t>ing</w:t>
      </w:r>
      <w:r w:rsidR="001B3E34">
        <w:rPr>
          <w:rFonts w:ascii="Arial" w:hAnsi="Arial" w:cs="Arial"/>
          <w:color w:val="000000"/>
        </w:rPr>
        <w:t xml:space="preserve"> th</w:t>
      </w:r>
      <w:r w:rsidR="00B8545F">
        <w:rPr>
          <w:rFonts w:ascii="Arial" w:hAnsi="Arial" w:cs="Arial"/>
          <w:color w:val="000000"/>
        </w:rPr>
        <w:t>e opinion evidence of highly educated and experienced experts in the fields of psychology and psychiatry</w:t>
      </w:r>
      <w:r w:rsidR="001B3E34">
        <w:rPr>
          <w:rFonts w:ascii="Arial" w:hAnsi="Arial" w:cs="Arial"/>
          <w:color w:val="000000"/>
        </w:rPr>
        <w:t>.</w:t>
      </w:r>
      <w:r w:rsidR="00177B09">
        <w:rPr>
          <w:rFonts w:ascii="Arial" w:hAnsi="Arial" w:cs="Arial"/>
          <w:color w:val="000000"/>
        </w:rPr>
        <w:t xml:space="preserve"> </w:t>
      </w:r>
    </w:p>
    <w:p w14:paraId="2DE2748F" w14:textId="77777777" w:rsidR="00721EDA" w:rsidRDefault="00721EDA">
      <w:pPr>
        <w:rPr>
          <w:rFonts w:ascii="Arial" w:eastAsia="Times New Roman" w:hAnsi="Arial" w:cs="Arial"/>
          <w:color w:val="000000"/>
          <w:sz w:val="24"/>
          <w:szCs w:val="24"/>
          <w:lang w:eastAsia="en-CA"/>
        </w:rPr>
      </w:pPr>
      <w:r>
        <w:rPr>
          <w:rFonts w:ascii="Arial" w:hAnsi="Arial" w:cs="Arial"/>
          <w:color w:val="000000"/>
        </w:rPr>
        <w:br w:type="page"/>
      </w:r>
    </w:p>
    <w:p w14:paraId="52596F49" w14:textId="1C49A460" w:rsidR="00560722" w:rsidRPr="00FE0208" w:rsidRDefault="00BB4777" w:rsidP="007C5AAA">
      <w:pPr>
        <w:jc w:val="center"/>
        <w:rPr>
          <w:rFonts w:ascii="Arial" w:hAnsi="Arial" w:cs="Arial"/>
          <w:b/>
          <w:bCs/>
          <w:sz w:val="24"/>
          <w:szCs w:val="24"/>
          <w:u w:val="single"/>
        </w:rPr>
      </w:pPr>
      <w:r>
        <w:rPr>
          <w:rFonts w:ascii="Arial" w:hAnsi="Arial" w:cs="Arial"/>
          <w:b/>
          <w:bCs/>
          <w:sz w:val="24"/>
          <w:szCs w:val="24"/>
          <w:u w:val="single"/>
        </w:rPr>
        <w:lastRenderedPageBreak/>
        <w:t>R</w:t>
      </w:r>
      <w:r w:rsidR="007C5AAA" w:rsidRPr="00FE0208">
        <w:rPr>
          <w:rFonts w:ascii="Arial" w:hAnsi="Arial" w:cs="Arial"/>
          <w:b/>
          <w:bCs/>
          <w:sz w:val="24"/>
          <w:szCs w:val="24"/>
          <w:u w:val="single"/>
        </w:rPr>
        <w:t>eferences</w:t>
      </w:r>
    </w:p>
    <w:p w14:paraId="2918C5F4" w14:textId="244EB660" w:rsidR="00212A58" w:rsidRDefault="00212A58" w:rsidP="00B045C6">
      <w:pPr>
        <w:rPr>
          <w:rFonts w:ascii="Arial" w:hAnsi="Arial" w:cs="Arial"/>
          <w:sz w:val="24"/>
          <w:szCs w:val="24"/>
        </w:rPr>
      </w:pPr>
    </w:p>
    <w:p w14:paraId="17130AF4" w14:textId="2C9E6FDB" w:rsidR="002B7706" w:rsidRDefault="005C143A" w:rsidP="00DC7429">
      <w:pPr>
        <w:spacing w:after="0"/>
        <w:rPr>
          <w:rFonts w:ascii="Arial" w:hAnsi="Arial" w:cs="Arial"/>
          <w:sz w:val="24"/>
          <w:szCs w:val="24"/>
        </w:rPr>
      </w:pPr>
      <w:r>
        <w:rPr>
          <w:rFonts w:ascii="Arial" w:hAnsi="Arial" w:cs="Arial"/>
          <w:sz w:val="24"/>
          <w:szCs w:val="24"/>
        </w:rPr>
        <w:t xml:space="preserve">American Psychological Association </w:t>
      </w:r>
      <w:r w:rsidR="00C02226" w:rsidRPr="00C356F4">
        <w:rPr>
          <w:rFonts w:ascii="Arial" w:hAnsi="Arial" w:cs="Arial"/>
          <w:i/>
          <w:iCs/>
          <w:sz w:val="24"/>
          <w:szCs w:val="24"/>
        </w:rPr>
        <w:t>Gui</w:t>
      </w:r>
      <w:r w:rsidR="00EC19DB" w:rsidRPr="00C356F4">
        <w:rPr>
          <w:rFonts w:ascii="Arial" w:hAnsi="Arial" w:cs="Arial"/>
          <w:i/>
          <w:iCs/>
          <w:sz w:val="24"/>
          <w:szCs w:val="24"/>
        </w:rPr>
        <w:t>delines for Psychological Evaluations in Child Protection Matters</w:t>
      </w:r>
      <w:r w:rsidR="00EC19DB">
        <w:rPr>
          <w:rFonts w:ascii="Arial" w:hAnsi="Arial" w:cs="Arial"/>
          <w:sz w:val="24"/>
          <w:szCs w:val="24"/>
        </w:rPr>
        <w:t xml:space="preserve">, </w:t>
      </w:r>
      <w:proofErr w:type="gramStart"/>
      <w:r w:rsidR="00EC19DB">
        <w:rPr>
          <w:rFonts w:ascii="Arial" w:hAnsi="Arial" w:cs="Arial"/>
          <w:sz w:val="24"/>
          <w:szCs w:val="24"/>
        </w:rPr>
        <w:t>January,</w:t>
      </w:r>
      <w:proofErr w:type="gramEnd"/>
      <w:r w:rsidR="00EC19DB">
        <w:rPr>
          <w:rFonts w:ascii="Arial" w:hAnsi="Arial" w:cs="Arial"/>
          <w:sz w:val="24"/>
          <w:szCs w:val="24"/>
        </w:rPr>
        <w:t xml:space="preserve"> 2013, American Psychologist</w:t>
      </w:r>
      <w:r w:rsidR="00B4349B">
        <w:rPr>
          <w:rFonts w:ascii="Arial" w:hAnsi="Arial" w:cs="Arial"/>
          <w:sz w:val="24"/>
          <w:szCs w:val="24"/>
        </w:rPr>
        <w:t xml:space="preserve"> Vol. 68, No. 1, 20-31.</w:t>
      </w:r>
    </w:p>
    <w:p w14:paraId="5535DDCE" w14:textId="77777777" w:rsidR="00DC7429" w:rsidRDefault="00DC7429" w:rsidP="00DC7429">
      <w:pPr>
        <w:spacing w:after="0"/>
        <w:rPr>
          <w:rFonts w:ascii="Arial" w:hAnsi="Arial" w:cs="Arial"/>
          <w:sz w:val="24"/>
          <w:szCs w:val="24"/>
        </w:rPr>
      </w:pPr>
    </w:p>
    <w:p w14:paraId="2D597A06" w14:textId="2046F351" w:rsidR="009334C8" w:rsidRDefault="007607DD" w:rsidP="00DC7429">
      <w:pPr>
        <w:spacing w:after="0"/>
        <w:rPr>
          <w:rFonts w:ascii="Arial" w:hAnsi="Arial" w:cs="Arial"/>
          <w:color w:val="000000"/>
          <w:sz w:val="24"/>
          <w:szCs w:val="24"/>
        </w:rPr>
      </w:pPr>
      <w:r w:rsidRPr="007607DD">
        <w:rPr>
          <w:rFonts w:ascii="Arial" w:hAnsi="Arial" w:cs="Arial"/>
          <w:color w:val="000000"/>
          <w:sz w:val="24"/>
          <w:szCs w:val="24"/>
        </w:rPr>
        <w:t xml:space="preserve">American Psychological Association </w:t>
      </w:r>
      <w:r w:rsidR="009334C8" w:rsidRPr="00C356F4">
        <w:rPr>
          <w:rFonts w:ascii="Arial" w:hAnsi="Arial" w:cs="Arial"/>
          <w:i/>
          <w:iCs/>
          <w:color w:val="000000"/>
          <w:sz w:val="24"/>
          <w:szCs w:val="24"/>
        </w:rPr>
        <w:t>Education and Training Guidelines for Forensic Psychology</w:t>
      </w:r>
      <w:r w:rsidR="009334C8">
        <w:rPr>
          <w:rFonts w:ascii="Arial" w:hAnsi="Arial" w:cs="Arial"/>
          <w:color w:val="000000"/>
        </w:rPr>
        <w:t xml:space="preserve">, </w:t>
      </w:r>
      <w:r w:rsidR="009334C8" w:rsidRPr="007607DD">
        <w:rPr>
          <w:rFonts w:ascii="Arial" w:hAnsi="Arial" w:cs="Arial"/>
          <w:color w:val="000000"/>
          <w:sz w:val="24"/>
          <w:szCs w:val="24"/>
        </w:rPr>
        <w:t>November 19, 2007,</w:t>
      </w:r>
      <w:r w:rsidR="009334C8">
        <w:rPr>
          <w:rFonts w:ascii="Arial" w:hAnsi="Arial" w:cs="Arial"/>
          <w:color w:val="000000"/>
        </w:rPr>
        <w:t xml:space="preserve"> </w:t>
      </w:r>
      <w:r w:rsidR="009334C8" w:rsidRPr="007607DD">
        <w:rPr>
          <w:rFonts w:ascii="Arial" w:hAnsi="Arial" w:cs="Arial"/>
          <w:color w:val="000000"/>
          <w:sz w:val="24"/>
          <w:szCs w:val="24"/>
        </w:rPr>
        <w:t>Forensic Specialty Council</w:t>
      </w:r>
      <w:r>
        <w:rPr>
          <w:rFonts w:ascii="Arial" w:hAnsi="Arial" w:cs="Arial"/>
          <w:color w:val="000000"/>
          <w:sz w:val="24"/>
          <w:szCs w:val="24"/>
        </w:rPr>
        <w:t>.</w:t>
      </w:r>
    </w:p>
    <w:p w14:paraId="5CF13581" w14:textId="77777777" w:rsidR="00DC7429" w:rsidRPr="007607DD" w:rsidRDefault="00DC7429" w:rsidP="00DC7429">
      <w:pPr>
        <w:spacing w:after="0"/>
        <w:rPr>
          <w:rFonts w:ascii="Arial" w:hAnsi="Arial" w:cs="Arial"/>
          <w:sz w:val="24"/>
          <w:szCs w:val="24"/>
        </w:rPr>
      </w:pPr>
    </w:p>
    <w:p w14:paraId="7AB755D8" w14:textId="64A76202" w:rsidR="00FE0208" w:rsidRDefault="00B23FD8" w:rsidP="00DC7429">
      <w:pPr>
        <w:spacing w:after="0"/>
        <w:rPr>
          <w:rFonts w:ascii="Arial" w:hAnsi="Arial" w:cs="Arial"/>
          <w:sz w:val="24"/>
          <w:szCs w:val="24"/>
        </w:rPr>
      </w:pPr>
      <w:proofErr w:type="spellStart"/>
      <w:r>
        <w:rPr>
          <w:rFonts w:ascii="Arial" w:hAnsi="Arial" w:cs="Arial"/>
          <w:sz w:val="24"/>
          <w:szCs w:val="24"/>
        </w:rPr>
        <w:t>Bala</w:t>
      </w:r>
      <w:proofErr w:type="spellEnd"/>
      <w:r w:rsidR="00601AFC">
        <w:rPr>
          <w:rFonts w:ascii="Arial" w:hAnsi="Arial" w:cs="Arial"/>
          <w:sz w:val="24"/>
          <w:szCs w:val="24"/>
        </w:rPr>
        <w:t xml:space="preserve">, N. and </w:t>
      </w:r>
      <w:proofErr w:type="spellStart"/>
      <w:r w:rsidR="00601AFC">
        <w:rPr>
          <w:rFonts w:ascii="Arial" w:hAnsi="Arial" w:cs="Arial"/>
          <w:sz w:val="24"/>
          <w:szCs w:val="24"/>
        </w:rPr>
        <w:t>Leschied</w:t>
      </w:r>
      <w:proofErr w:type="spellEnd"/>
      <w:r w:rsidR="00601AFC">
        <w:rPr>
          <w:rFonts w:ascii="Arial" w:hAnsi="Arial" w:cs="Arial"/>
          <w:sz w:val="24"/>
          <w:szCs w:val="24"/>
        </w:rPr>
        <w:t>, A</w:t>
      </w:r>
      <w:r w:rsidR="00601AFC" w:rsidRPr="00C356F4">
        <w:rPr>
          <w:rFonts w:ascii="Arial" w:hAnsi="Arial" w:cs="Arial"/>
          <w:i/>
          <w:iCs/>
          <w:sz w:val="24"/>
          <w:szCs w:val="24"/>
        </w:rPr>
        <w:t xml:space="preserve">. </w:t>
      </w:r>
      <w:r w:rsidR="00066716" w:rsidRPr="00C356F4">
        <w:rPr>
          <w:rFonts w:ascii="Arial" w:hAnsi="Arial" w:cs="Arial"/>
          <w:i/>
          <w:iCs/>
          <w:sz w:val="24"/>
          <w:szCs w:val="24"/>
        </w:rPr>
        <w:t>Court-Ordered Assessments in Ontario Child Welfare Cases:  Review and Recommendations for Reform</w:t>
      </w:r>
      <w:r w:rsidR="00601AFC">
        <w:rPr>
          <w:rFonts w:ascii="Arial" w:hAnsi="Arial" w:cs="Arial"/>
          <w:sz w:val="24"/>
          <w:szCs w:val="24"/>
        </w:rPr>
        <w:t>.</w:t>
      </w:r>
      <w:r w:rsidR="00066716" w:rsidRPr="00545FA2">
        <w:rPr>
          <w:rFonts w:ascii="Arial" w:hAnsi="Arial" w:cs="Arial"/>
          <w:sz w:val="24"/>
          <w:szCs w:val="24"/>
        </w:rPr>
        <w:t xml:space="preserve"> Canadian Journal of Family Law [Vol. 24, 2008</w:t>
      </w:r>
      <w:r w:rsidR="00545FA2">
        <w:rPr>
          <w:rFonts w:ascii="Arial" w:hAnsi="Arial" w:cs="Arial"/>
          <w:sz w:val="24"/>
          <w:szCs w:val="24"/>
        </w:rPr>
        <w:t>]</w:t>
      </w:r>
    </w:p>
    <w:p w14:paraId="0467E19D" w14:textId="77777777" w:rsidR="00DC7429" w:rsidRDefault="00DC7429" w:rsidP="00DC7429">
      <w:pPr>
        <w:spacing w:after="0"/>
        <w:rPr>
          <w:rFonts w:ascii="Arial" w:hAnsi="Arial" w:cs="Arial"/>
          <w:sz w:val="24"/>
          <w:szCs w:val="24"/>
        </w:rPr>
      </w:pPr>
    </w:p>
    <w:p w14:paraId="49865204" w14:textId="395B6C57" w:rsidR="00C84915" w:rsidRDefault="00C84915" w:rsidP="00DC7429">
      <w:pPr>
        <w:spacing w:after="0"/>
        <w:rPr>
          <w:rFonts w:ascii="Arial" w:hAnsi="Arial" w:cs="Arial"/>
          <w:sz w:val="24"/>
          <w:szCs w:val="24"/>
        </w:rPr>
      </w:pPr>
      <w:proofErr w:type="spellStart"/>
      <w:r w:rsidRPr="00526893">
        <w:rPr>
          <w:rFonts w:ascii="Arial" w:hAnsi="Arial" w:cs="Arial"/>
          <w:sz w:val="24"/>
          <w:szCs w:val="24"/>
        </w:rPr>
        <w:t>Bala</w:t>
      </w:r>
      <w:proofErr w:type="spellEnd"/>
      <w:r w:rsidRPr="00526893">
        <w:rPr>
          <w:rFonts w:ascii="Arial" w:hAnsi="Arial" w:cs="Arial"/>
          <w:sz w:val="24"/>
          <w:szCs w:val="24"/>
        </w:rPr>
        <w:t>, N. and Thompso</w:t>
      </w:r>
      <w:r w:rsidR="00526893">
        <w:rPr>
          <w:rFonts w:ascii="Arial" w:hAnsi="Arial" w:cs="Arial"/>
          <w:sz w:val="24"/>
          <w:szCs w:val="24"/>
        </w:rPr>
        <w:t>n</w:t>
      </w:r>
      <w:r w:rsidRPr="00526893">
        <w:rPr>
          <w:rFonts w:ascii="Arial" w:hAnsi="Arial" w:cs="Arial"/>
          <w:sz w:val="24"/>
          <w:szCs w:val="24"/>
        </w:rPr>
        <w:t xml:space="preserve">, J. (2015) </w:t>
      </w:r>
      <w:r w:rsidRPr="00526893">
        <w:rPr>
          <w:rFonts w:ascii="Arial" w:hAnsi="Arial" w:cs="Arial"/>
          <w:i/>
          <w:iCs/>
          <w:sz w:val="24"/>
          <w:szCs w:val="24"/>
        </w:rPr>
        <w:t>Expert Evidence and Assessments in Child Welfare Cases</w:t>
      </w:r>
      <w:r w:rsidRPr="00526893">
        <w:rPr>
          <w:rFonts w:ascii="Arial" w:hAnsi="Arial" w:cs="Arial"/>
          <w:sz w:val="24"/>
          <w:szCs w:val="24"/>
        </w:rPr>
        <w:t xml:space="preserve">, (2015) Queen’s Law Research </w:t>
      </w:r>
      <w:proofErr w:type="gramStart"/>
      <w:r w:rsidRPr="00526893">
        <w:rPr>
          <w:rFonts w:ascii="Arial" w:hAnsi="Arial" w:cs="Arial"/>
          <w:sz w:val="24"/>
          <w:szCs w:val="24"/>
        </w:rPr>
        <w:t>paper</w:t>
      </w:r>
      <w:proofErr w:type="gramEnd"/>
      <w:r w:rsidRPr="00526893">
        <w:rPr>
          <w:rFonts w:ascii="Arial" w:hAnsi="Arial" w:cs="Arial"/>
          <w:sz w:val="24"/>
          <w:szCs w:val="24"/>
        </w:rPr>
        <w:t xml:space="preserve"> Series</w:t>
      </w:r>
      <w:r w:rsidR="00526893">
        <w:rPr>
          <w:rFonts w:ascii="Arial" w:hAnsi="Arial" w:cs="Arial"/>
          <w:sz w:val="24"/>
          <w:szCs w:val="24"/>
        </w:rPr>
        <w:t>.</w:t>
      </w:r>
    </w:p>
    <w:p w14:paraId="03581196" w14:textId="77777777" w:rsidR="00DC7429" w:rsidRPr="00526893" w:rsidRDefault="00DC7429" w:rsidP="00DC7429">
      <w:pPr>
        <w:spacing w:after="0"/>
        <w:rPr>
          <w:rFonts w:ascii="Arial" w:hAnsi="Arial" w:cs="Arial"/>
          <w:sz w:val="24"/>
          <w:szCs w:val="24"/>
        </w:rPr>
      </w:pPr>
    </w:p>
    <w:p w14:paraId="02C05CA0" w14:textId="71D8DD85" w:rsidR="007F575E" w:rsidRDefault="007F575E" w:rsidP="00DC7429">
      <w:pPr>
        <w:spacing w:after="0"/>
        <w:rPr>
          <w:rFonts w:ascii="Arial" w:hAnsi="Arial" w:cs="Arial"/>
          <w:sz w:val="24"/>
          <w:szCs w:val="24"/>
        </w:rPr>
      </w:pPr>
      <w:r w:rsidRPr="007F575E">
        <w:rPr>
          <w:rFonts w:ascii="Arial" w:hAnsi="Arial" w:cs="Arial"/>
          <w:sz w:val="24"/>
          <w:szCs w:val="24"/>
        </w:rPr>
        <w:t xml:space="preserve">Beaman, Judith C. </w:t>
      </w:r>
      <w:r w:rsidRPr="00C356F4">
        <w:rPr>
          <w:rFonts w:ascii="Arial" w:hAnsi="Arial" w:cs="Arial"/>
          <w:i/>
          <w:iCs/>
          <w:sz w:val="24"/>
          <w:szCs w:val="24"/>
        </w:rPr>
        <w:t xml:space="preserve">The Report of the </w:t>
      </w:r>
      <w:proofErr w:type="spellStart"/>
      <w:r w:rsidRPr="00C356F4">
        <w:rPr>
          <w:rFonts w:ascii="Arial" w:hAnsi="Arial" w:cs="Arial"/>
          <w:i/>
          <w:iCs/>
          <w:sz w:val="24"/>
          <w:szCs w:val="24"/>
        </w:rPr>
        <w:t>Motherisk</w:t>
      </w:r>
      <w:proofErr w:type="spellEnd"/>
      <w:r w:rsidRPr="00C356F4">
        <w:rPr>
          <w:rFonts w:ascii="Arial" w:hAnsi="Arial" w:cs="Arial"/>
          <w:i/>
          <w:iCs/>
          <w:sz w:val="24"/>
          <w:szCs w:val="24"/>
        </w:rPr>
        <w:t xml:space="preserve"> Commission</w:t>
      </w:r>
      <w:r w:rsidRPr="007F575E">
        <w:rPr>
          <w:rFonts w:ascii="Arial" w:hAnsi="Arial" w:cs="Arial"/>
          <w:sz w:val="24"/>
          <w:szCs w:val="24"/>
        </w:rPr>
        <w:t>, February 2018, Ministry of the Attorney General.</w:t>
      </w:r>
    </w:p>
    <w:p w14:paraId="27B72D8E" w14:textId="77777777" w:rsidR="00DC7429" w:rsidRDefault="00DC7429" w:rsidP="00DC7429">
      <w:pPr>
        <w:spacing w:after="0"/>
        <w:rPr>
          <w:rFonts w:ascii="Arial" w:hAnsi="Arial" w:cs="Arial"/>
          <w:sz w:val="24"/>
          <w:szCs w:val="24"/>
        </w:rPr>
      </w:pPr>
    </w:p>
    <w:p w14:paraId="65EBC095" w14:textId="0BCD4EA0" w:rsidR="000E51D7" w:rsidRDefault="000E51D7" w:rsidP="00DC7429">
      <w:pPr>
        <w:spacing w:after="0"/>
        <w:rPr>
          <w:rFonts w:ascii="Arial" w:hAnsi="Arial" w:cs="Arial"/>
          <w:sz w:val="24"/>
          <w:szCs w:val="24"/>
        </w:rPr>
      </w:pPr>
      <w:r>
        <w:rPr>
          <w:rFonts w:ascii="Arial" w:hAnsi="Arial" w:cs="Arial"/>
          <w:sz w:val="24"/>
          <w:szCs w:val="24"/>
        </w:rPr>
        <w:t>Budd</w:t>
      </w:r>
      <w:r w:rsidR="0055115A">
        <w:rPr>
          <w:rFonts w:ascii="Arial" w:hAnsi="Arial" w:cs="Arial"/>
          <w:sz w:val="24"/>
          <w:szCs w:val="24"/>
        </w:rPr>
        <w:t xml:space="preserve">, K.S. (2001) </w:t>
      </w:r>
      <w:r w:rsidR="0055115A" w:rsidRPr="00AF6716">
        <w:rPr>
          <w:rFonts w:ascii="Arial" w:hAnsi="Arial" w:cs="Arial"/>
          <w:i/>
          <w:iCs/>
          <w:sz w:val="24"/>
          <w:szCs w:val="24"/>
        </w:rPr>
        <w:t>Assessing Parenting Competence in Child Protection Cases:  A Clinical Practice Model</w:t>
      </w:r>
      <w:r w:rsidR="00C356F4">
        <w:rPr>
          <w:rFonts w:ascii="Arial" w:hAnsi="Arial" w:cs="Arial"/>
          <w:sz w:val="24"/>
          <w:szCs w:val="24"/>
        </w:rPr>
        <w:t>,</w:t>
      </w:r>
      <w:r w:rsidR="00AF6716">
        <w:rPr>
          <w:rFonts w:ascii="Arial" w:hAnsi="Arial" w:cs="Arial"/>
          <w:sz w:val="24"/>
          <w:szCs w:val="24"/>
        </w:rPr>
        <w:t xml:space="preserve"> Clinical Child and Family Psychology Review, Vol. 4, No. 1, 2001.</w:t>
      </w:r>
    </w:p>
    <w:p w14:paraId="5E4E0313" w14:textId="77777777" w:rsidR="00DC7429" w:rsidRDefault="00DC7429" w:rsidP="00DC7429">
      <w:pPr>
        <w:spacing w:after="0"/>
        <w:rPr>
          <w:rFonts w:ascii="Arial" w:hAnsi="Arial" w:cs="Arial"/>
          <w:sz w:val="24"/>
          <w:szCs w:val="24"/>
        </w:rPr>
      </w:pPr>
    </w:p>
    <w:p w14:paraId="00F5EF91" w14:textId="15236FA3" w:rsidR="00306B6A" w:rsidRDefault="00306B6A" w:rsidP="00DC7429">
      <w:pPr>
        <w:spacing w:after="0"/>
        <w:rPr>
          <w:rFonts w:ascii="Arial" w:hAnsi="Arial" w:cs="Arial"/>
          <w:sz w:val="24"/>
          <w:szCs w:val="24"/>
        </w:rPr>
      </w:pPr>
      <w:r w:rsidRPr="00306B6A">
        <w:rPr>
          <w:rFonts w:ascii="Arial" w:hAnsi="Arial" w:cs="Arial"/>
          <w:sz w:val="24"/>
          <w:szCs w:val="24"/>
        </w:rPr>
        <w:t xml:space="preserve">Budd, K.S. (2005) </w:t>
      </w:r>
      <w:r w:rsidRPr="00306B6A">
        <w:rPr>
          <w:rFonts w:ascii="Arial" w:hAnsi="Arial" w:cs="Arial"/>
          <w:i/>
          <w:iCs/>
          <w:sz w:val="24"/>
          <w:szCs w:val="24"/>
        </w:rPr>
        <w:t>Assessing Parenting Capacity in a Child Welfare Context</w:t>
      </w:r>
      <w:r w:rsidRPr="00306B6A">
        <w:rPr>
          <w:rFonts w:ascii="Arial" w:hAnsi="Arial" w:cs="Arial"/>
          <w:sz w:val="24"/>
          <w:szCs w:val="24"/>
        </w:rPr>
        <w:t xml:space="preserve"> Children and Youth Services Review 27, 429-444</w:t>
      </w:r>
      <w:r>
        <w:rPr>
          <w:rFonts w:ascii="Arial" w:hAnsi="Arial" w:cs="Arial"/>
          <w:sz w:val="24"/>
          <w:szCs w:val="24"/>
        </w:rPr>
        <w:t>.</w:t>
      </w:r>
    </w:p>
    <w:p w14:paraId="0B7E6AA1" w14:textId="77777777" w:rsidR="00DC7429" w:rsidRDefault="00DC7429" w:rsidP="00DC7429">
      <w:pPr>
        <w:spacing w:after="0"/>
        <w:rPr>
          <w:rFonts w:ascii="Arial" w:hAnsi="Arial" w:cs="Arial"/>
          <w:sz w:val="24"/>
          <w:szCs w:val="24"/>
        </w:rPr>
      </w:pPr>
    </w:p>
    <w:p w14:paraId="0ACC902B" w14:textId="3840CF66" w:rsidR="00DC7429" w:rsidRDefault="00A00647" w:rsidP="00DC7429">
      <w:pPr>
        <w:spacing w:after="0"/>
        <w:rPr>
          <w:rFonts w:ascii="Arial" w:hAnsi="Arial" w:cs="Arial"/>
          <w:sz w:val="24"/>
          <w:szCs w:val="24"/>
        </w:rPr>
      </w:pPr>
      <w:r w:rsidRPr="00A00647">
        <w:rPr>
          <w:rFonts w:ascii="Arial" w:hAnsi="Arial" w:cs="Arial"/>
          <w:sz w:val="24"/>
          <w:szCs w:val="24"/>
        </w:rPr>
        <w:t xml:space="preserve">Budd, K.S., Connell, M. and Clark, Jennifer (2011) </w:t>
      </w:r>
      <w:r w:rsidRPr="00A00647">
        <w:rPr>
          <w:rFonts w:ascii="Arial" w:hAnsi="Arial" w:cs="Arial"/>
          <w:i/>
          <w:iCs/>
          <w:sz w:val="24"/>
          <w:szCs w:val="24"/>
        </w:rPr>
        <w:t>Evaluation of Parenting Capacity in Child Protection:  Best Practices in Forensic Mental Health Assessment</w:t>
      </w:r>
      <w:r w:rsidRPr="00A00647">
        <w:rPr>
          <w:rFonts w:ascii="Arial" w:hAnsi="Arial" w:cs="Arial"/>
          <w:sz w:val="24"/>
          <w:szCs w:val="24"/>
        </w:rPr>
        <w:t>. Oxford University Press Inc.</w:t>
      </w:r>
    </w:p>
    <w:p w14:paraId="29614F14" w14:textId="77777777" w:rsidR="00DC7429" w:rsidRPr="00A00647" w:rsidRDefault="00DC7429" w:rsidP="00DC7429">
      <w:pPr>
        <w:spacing w:after="0"/>
        <w:rPr>
          <w:rFonts w:ascii="Arial" w:hAnsi="Arial" w:cs="Arial"/>
          <w:sz w:val="24"/>
          <w:szCs w:val="24"/>
        </w:rPr>
      </w:pPr>
    </w:p>
    <w:p w14:paraId="72E6CF23" w14:textId="020E990F" w:rsidR="00E46FE1" w:rsidRDefault="00DB3867" w:rsidP="00DC7429">
      <w:pPr>
        <w:spacing w:after="0"/>
        <w:rPr>
          <w:rFonts w:ascii="Arial" w:hAnsi="Arial" w:cs="Arial"/>
          <w:sz w:val="24"/>
          <w:szCs w:val="24"/>
        </w:rPr>
      </w:pPr>
      <w:r w:rsidRPr="002860F6">
        <w:rPr>
          <w:rFonts w:ascii="Arial" w:hAnsi="Arial" w:cs="Arial"/>
          <w:sz w:val="24"/>
          <w:szCs w:val="24"/>
        </w:rPr>
        <w:t xml:space="preserve">Gallant, Jacques, August 2, </w:t>
      </w:r>
      <w:proofErr w:type="gramStart"/>
      <w:r w:rsidRPr="002860F6">
        <w:rPr>
          <w:rFonts w:ascii="Arial" w:hAnsi="Arial" w:cs="Arial"/>
          <w:sz w:val="24"/>
          <w:szCs w:val="24"/>
        </w:rPr>
        <w:t>2019</w:t>
      </w:r>
      <w:proofErr w:type="gramEnd"/>
      <w:r>
        <w:rPr>
          <w:rFonts w:ascii="Arial" w:hAnsi="Arial" w:cs="Arial"/>
          <w:i/>
          <w:iCs/>
          <w:sz w:val="24"/>
          <w:szCs w:val="24"/>
        </w:rPr>
        <w:t xml:space="preserve"> </w:t>
      </w:r>
      <w:r w:rsidRPr="00867906">
        <w:rPr>
          <w:rFonts w:ascii="Arial" w:hAnsi="Arial" w:cs="Arial"/>
          <w:i/>
          <w:iCs/>
          <w:sz w:val="24"/>
          <w:szCs w:val="24"/>
        </w:rPr>
        <w:t>There’s no rule on who can write assessments that ‘effectively decide’ if an Ontario parent loses their child.  Experts say that must change</w:t>
      </w:r>
      <w:r w:rsidRPr="00867906">
        <w:rPr>
          <w:rFonts w:ascii="Arial" w:hAnsi="Arial" w:cs="Arial"/>
          <w:sz w:val="24"/>
          <w:szCs w:val="24"/>
        </w:rPr>
        <w:t>.  Toronto Star.</w:t>
      </w:r>
    </w:p>
    <w:p w14:paraId="05127E30" w14:textId="77777777" w:rsidR="00DC7429" w:rsidRDefault="00DC7429" w:rsidP="00DC7429">
      <w:pPr>
        <w:spacing w:after="0"/>
        <w:rPr>
          <w:rFonts w:ascii="Arial" w:hAnsi="Arial" w:cs="Arial"/>
          <w:sz w:val="24"/>
          <w:szCs w:val="24"/>
        </w:rPr>
      </w:pPr>
    </w:p>
    <w:p w14:paraId="1BA5646F" w14:textId="1859A438" w:rsidR="00E46FE1" w:rsidRPr="006C4AC7" w:rsidRDefault="00E46FE1" w:rsidP="00DC7429">
      <w:pPr>
        <w:pStyle w:val="FootnoteText"/>
        <w:rPr>
          <w:rFonts w:ascii="Arial" w:hAnsi="Arial" w:cs="Arial"/>
          <w:sz w:val="24"/>
          <w:szCs w:val="24"/>
        </w:rPr>
      </w:pPr>
      <w:r w:rsidRPr="006C4AC7">
        <w:rPr>
          <w:rFonts w:ascii="Arial" w:hAnsi="Arial" w:cs="Arial"/>
          <w:sz w:val="24"/>
          <w:szCs w:val="24"/>
        </w:rPr>
        <w:t xml:space="preserve">Gallant, Jacques, October 15, </w:t>
      </w:r>
      <w:proofErr w:type="gramStart"/>
      <w:r w:rsidRPr="006C4AC7">
        <w:rPr>
          <w:rFonts w:ascii="Arial" w:hAnsi="Arial" w:cs="Arial"/>
          <w:sz w:val="24"/>
          <w:szCs w:val="24"/>
        </w:rPr>
        <w:t>2019</w:t>
      </w:r>
      <w:proofErr w:type="gramEnd"/>
      <w:r w:rsidR="006C4AC7" w:rsidRPr="006C4AC7">
        <w:rPr>
          <w:rFonts w:ascii="Arial" w:hAnsi="Arial" w:cs="Arial"/>
          <w:sz w:val="24"/>
          <w:szCs w:val="24"/>
        </w:rPr>
        <w:t xml:space="preserve"> </w:t>
      </w:r>
      <w:r w:rsidRPr="006C4AC7">
        <w:rPr>
          <w:rFonts w:ascii="Arial" w:hAnsi="Arial" w:cs="Arial"/>
          <w:i/>
          <w:iCs/>
          <w:sz w:val="24"/>
          <w:szCs w:val="24"/>
        </w:rPr>
        <w:t>Ontario psychologist completed assessments without children’s aid societies knowing he had been cautioned’</w:t>
      </w:r>
      <w:r w:rsidRPr="006C4AC7">
        <w:rPr>
          <w:rFonts w:ascii="Arial" w:hAnsi="Arial" w:cs="Arial"/>
          <w:sz w:val="24"/>
          <w:szCs w:val="24"/>
        </w:rPr>
        <w:t xml:space="preserve">.  Toronto Star </w:t>
      </w:r>
    </w:p>
    <w:p w14:paraId="3FB612BE" w14:textId="77777777" w:rsidR="00DC7429" w:rsidRDefault="00DC7429" w:rsidP="00DC7429">
      <w:pPr>
        <w:spacing w:after="0"/>
        <w:rPr>
          <w:rFonts w:ascii="Arial" w:hAnsi="Arial" w:cs="Arial"/>
          <w:sz w:val="24"/>
          <w:szCs w:val="24"/>
        </w:rPr>
      </w:pPr>
    </w:p>
    <w:p w14:paraId="4D1C8CD1" w14:textId="77777777" w:rsidR="00BB2B86" w:rsidRDefault="008F264E" w:rsidP="00DC7429">
      <w:pPr>
        <w:spacing w:after="0"/>
        <w:rPr>
          <w:rFonts w:ascii="Arial" w:hAnsi="Arial" w:cs="Arial"/>
          <w:sz w:val="24"/>
          <w:szCs w:val="24"/>
        </w:rPr>
      </w:pPr>
      <w:proofErr w:type="spellStart"/>
      <w:r w:rsidRPr="007F575E">
        <w:rPr>
          <w:rFonts w:ascii="Arial" w:hAnsi="Arial" w:cs="Arial"/>
          <w:sz w:val="24"/>
          <w:szCs w:val="24"/>
        </w:rPr>
        <w:t>Goudge</w:t>
      </w:r>
      <w:proofErr w:type="spellEnd"/>
      <w:r w:rsidRPr="007F575E">
        <w:rPr>
          <w:rFonts w:ascii="Arial" w:hAnsi="Arial" w:cs="Arial"/>
          <w:sz w:val="24"/>
          <w:szCs w:val="24"/>
        </w:rPr>
        <w:t>, S</w:t>
      </w:r>
      <w:r w:rsidR="008168F2" w:rsidRPr="007F575E">
        <w:rPr>
          <w:rFonts w:ascii="Arial" w:hAnsi="Arial" w:cs="Arial"/>
          <w:sz w:val="24"/>
          <w:szCs w:val="24"/>
        </w:rPr>
        <w:t xml:space="preserve">tephen </w:t>
      </w:r>
      <w:proofErr w:type="gramStart"/>
      <w:r w:rsidR="008168F2" w:rsidRPr="007F575E">
        <w:rPr>
          <w:rFonts w:ascii="Arial" w:hAnsi="Arial" w:cs="Arial"/>
          <w:i/>
          <w:iCs/>
          <w:sz w:val="24"/>
          <w:szCs w:val="24"/>
        </w:rPr>
        <w:t>The</w:t>
      </w:r>
      <w:proofErr w:type="gramEnd"/>
      <w:r w:rsidR="008168F2" w:rsidRPr="007F575E">
        <w:rPr>
          <w:rFonts w:ascii="Arial" w:hAnsi="Arial" w:cs="Arial"/>
          <w:sz w:val="24"/>
          <w:szCs w:val="24"/>
        </w:rPr>
        <w:t xml:space="preserve"> </w:t>
      </w:r>
      <w:r w:rsidR="007472AA" w:rsidRPr="007F575E">
        <w:rPr>
          <w:rFonts w:ascii="Arial" w:hAnsi="Arial" w:cs="Arial"/>
          <w:i/>
          <w:iCs/>
          <w:sz w:val="24"/>
          <w:szCs w:val="24"/>
        </w:rPr>
        <w:t>Inquiry into Paediatric Forensic Pathology in Ontario</w:t>
      </w:r>
      <w:r w:rsidR="007472AA" w:rsidRPr="007F575E">
        <w:rPr>
          <w:rFonts w:ascii="Arial" w:hAnsi="Arial" w:cs="Arial"/>
          <w:sz w:val="24"/>
          <w:szCs w:val="24"/>
        </w:rPr>
        <w:t>” Toronto:  Queen’s Printer for Ontario, 2008</w:t>
      </w:r>
    </w:p>
    <w:p w14:paraId="6FCE5530" w14:textId="5D602948" w:rsidR="008168F2" w:rsidRDefault="007472AA" w:rsidP="00DC7429">
      <w:pPr>
        <w:spacing w:after="0"/>
        <w:rPr>
          <w:rFonts w:ascii="Arial" w:hAnsi="Arial" w:cs="Arial"/>
          <w:sz w:val="24"/>
          <w:szCs w:val="24"/>
        </w:rPr>
      </w:pPr>
      <w:r w:rsidRPr="007F575E">
        <w:rPr>
          <w:rFonts w:ascii="Arial" w:hAnsi="Arial" w:cs="Arial"/>
          <w:sz w:val="24"/>
          <w:szCs w:val="24"/>
        </w:rPr>
        <w:t xml:space="preserve"> </w:t>
      </w:r>
    </w:p>
    <w:p w14:paraId="6655820D" w14:textId="32AB6CD4" w:rsidR="0013762F" w:rsidRDefault="0013762F" w:rsidP="00DC7429">
      <w:pPr>
        <w:pStyle w:val="FootnoteText"/>
        <w:rPr>
          <w:rFonts w:ascii="Arial" w:hAnsi="Arial" w:cs="Arial"/>
          <w:color w:val="000000"/>
          <w:sz w:val="24"/>
          <w:szCs w:val="24"/>
        </w:rPr>
      </w:pPr>
      <w:r w:rsidRPr="0013762F">
        <w:rPr>
          <w:rFonts w:ascii="Arial" w:hAnsi="Arial" w:cs="Arial"/>
          <w:i/>
          <w:iCs/>
          <w:color w:val="000000"/>
          <w:sz w:val="24"/>
          <w:szCs w:val="24"/>
        </w:rPr>
        <w:t>Information for Consideration by Members Providing Psychological Services in the Context of Child Custody Disputes &amp; Child Protection Proceedings</w:t>
      </w:r>
      <w:r w:rsidRPr="0013762F">
        <w:rPr>
          <w:rFonts w:ascii="Arial" w:hAnsi="Arial" w:cs="Arial"/>
          <w:color w:val="000000"/>
          <w:sz w:val="24"/>
          <w:szCs w:val="24"/>
        </w:rPr>
        <w:t xml:space="preserve"> January 2014 CPO.ON.CA/Resources</w:t>
      </w:r>
    </w:p>
    <w:p w14:paraId="757AC619" w14:textId="77777777" w:rsidR="00DC7429" w:rsidRPr="0013762F" w:rsidRDefault="00DC7429" w:rsidP="00DC7429">
      <w:pPr>
        <w:pStyle w:val="FootnoteText"/>
        <w:rPr>
          <w:sz w:val="24"/>
          <w:szCs w:val="24"/>
        </w:rPr>
      </w:pPr>
    </w:p>
    <w:p w14:paraId="050620F1" w14:textId="0D6DAF6D" w:rsidR="0072357D" w:rsidRDefault="0072357D" w:rsidP="0013762F">
      <w:pPr>
        <w:spacing w:after="0"/>
        <w:rPr>
          <w:rFonts w:ascii="Arial" w:hAnsi="Arial" w:cs="Arial"/>
          <w:sz w:val="24"/>
          <w:szCs w:val="24"/>
        </w:rPr>
      </w:pPr>
      <w:proofErr w:type="spellStart"/>
      <w:r w:rsidRPr="0072357D">
        <w:rPr>
          <w:rFonts w:ascii="Arial" w:hAnsi="Arial" w:cs="Arial"/>
          <w:sz w:val="24"/>
          <w:szCs w:val="24"/>
        </w:rPr>
        <w:t>Pezzot</w:t>
      </w:r>
      <w:proofErr w:type="spellEnd"/>
      <w:r w:rsidRPr="0072357D">
        <w:rPr>
          <w:rFonts w:ascii="Arial" w:hAnsi="Arial" w:cs="Arial"/>
          <w:sz w:val="24"/>
          <w:szCs w:val="24"/>
        </w:rPr>
        <w:t xml:space="preserve">-Pearce, T.D., &amp; Pearce, J. (2004).  </w:t>
      </w:r>
      <w:r w:rsidRPr="0072357D">
        <w:rPr>
          <w:rFonts w:ascii="Arial" w:hAnsi="Arial" w:cs="Arial"/>
          <w:i/>
          <w:iCs/>
          <w:sz w:val="24"/>
          <w:szCs w:val="24"/>
        </w:rPr>
        <w:t>Parenting Assessments in Child Welfare Cases:  A Practical Guide</w:t>
      </w:r>
      <w:r w:rsidRPr="0072357D">
        <w:rPr>
          <w:rFonts w:ascii="Arial" w:hAnsi="Arial" w:cs="Arial"/>
          <w:sz w:val="24"/>
          <w:szCs w:val="24"/>
        </w:rPr>
        <w:t>. Toronto:  University of Toronto Press</w:t>
      </w:r>
      <w:r>
        <w:rPr>
          <w:rFonts w:ascii="Arial" w:hAnsi="Arial" w:cs="Arial"/>
          <w:sz w:val="24"/>
          <w:szCs w:val="24"/>
        </w:rPr>
        <w:t>.</w:t>
      </w:r>
    </w:p>
    <w:p w14:paraId="43EFACB5" w14:textId="5CC179DD" w:rsidR="00EE26FB" w:rsidRDefault="00EE26FB" w:rsidP="0013762F">
      <w:pPr>
        <w:spacing w:after="0"/>
        <w:rPr>
          <w:rFonts w:ascii="Arial" w:hAnsi="Arial" w:cs="Arial"/>
          <w:sz w:val="24"/>
          <w:szCs w:val="24"/>
        </w:rPr>
      </w:pPr>
    </w:p>
    <w:p w14:paraId="3FA0ACFC" w14:textId="77777777" w:rsidR="00EE26FB" w:rsidRPr="00EE26FB" w:rsidRDefault="00EE26FB" w:rsidP="00EE26FB">
      <w:pPr>
        <w:pStyle w:val="FootnoteText"/>
        <w:rPr>
          <w:rFonts w:ascii="Arial" w:hAnsi="Arial" w:cs="Arial"/>
          <w:sz w:val="24"/>
          <w:szCs w:val="24"/>
        </w:rPr>
      </w:pPr>
      <w:r w:rsidRPr="00EE26FB">
        <w:rPr>
          <w:rFonts w:ascii="Arial" w:hAnsi="Arial" w:cs="Arial"/>
          <w:sz w:val="24"/>
          <w:szCs w:val="24"/>
        </w:rPr>
        <w:t>Policy Directive CW 001-19:  Verifying the Credentials of Individuals Conducting Parenting Capacity Assessments. August 22, 2019.  Ministry of Children, Community and Social Services.</w:t>
      </w:r>
    </w:p>
    <w:p w14:paraId="056CF286" w14:textId="77777777" w:rsidR="00EE26FB" w:rsidRDefault="00EE26FB" w:rsidP="0013762F">
      <w:pPr>
        <w:spacing w:after="0"/>
        <w:rPr>
          <w:rFonts w:ascii="Arial" w:hAnsi="Arial" w:cs="Arial"/>
          <w:sz w:val="24"/>
          <w:szCs w:val="24"/>
        </w:rPr>
      </w:pPr>
    </w:p>
    <w:p w14:paraId="6CF5AD33" w14:textId="4F262465" w:rsidR="0072357D" w:rsidRDefault="0072357D" w:rsidP="00B045C6">
      <w:pPr>
        <w:rPr>
          <w:rFonts w:ascii="Arial" w:hAnsi="Arial" w:cs="Arial"/>
          <w:sz w:val="24"/>
          <w:szCs w:val="24"/>
        </w:rPr>
      </w:pPr>
      <w:proofErr w:type="spellStart"/>
      <w:r w:rsidRPr="0072357D">
        <w:rPr>
          <w:rFonts w:ascii="Arial" w:hAnsi="Arial" w:cs="Arial"/>
          <w:sz w:val="24"/>
          <w:szCs w:val="24"/>
        </w:rPr>
        <w:t>Steinhauer</w:t>
      </w:r>
      <w:proofErr w:type="spellEnd"/>
      <w:r w:rsidRPr="0072357D">
        <w:rPr>
          <w:rFonts w:ascii="Arial" w:hAnsi="Arial" w:cs="Arial"/>
          <w:sz w:val="24"/>
          <w:szCs w:val="24"/>
        </w:rPr>
        <w:t xml:space="preserve">, Paul D. (1993) </w:t>
      </w:r>
      <w:r w:rsidRPr="0072357D">
        <w:rPr>
          <w:rFonts w:ascii="Arial" w:hAnsi="Arial" w:cs="Arial"/>
          <w:i/>
          <w:iCs/>
          <w:sz w:val="24"/>
          <w:szCs w:val="24"/>
        </w:rPr>
        <w:t xml:space="preserve">The Least Detrimental Alternative:  A Systematic Guide to Case Planning and Decision Making for Children </w:t>
      </w:r>
      <w:proofErr w:type="gramStart"/>
      <w:r w:rsidRPr="0072357D">
        <w:rPr>
          <w:rFonts w:ascii="Arial" w:hAnsi="Arial" w:cs="Arial"/>
          <w:i/>
          <w:iCs/>
          <w:sz w:val="24"/>
          <w:szCs w:val="24"/>
        </w:rPr>
        <w:t>In</w:t>
      </w:r>
      <w:proofErr w:type="gramEnd"/>
      <w:r w:rsidRPr="0072357D">
        <w:rPr>
          <w:rFonts w:ascii="Arial" w:hAnsi="Arial" w:cs="Arial"/>
          <w:i/>
          <w:iCs/>
          <w:sz w:val="24"/>
          <w:szCs w:val="24"/>
        </w:rPr>
        <w:t xml:space="preserve"> Care</w:t>
      </w:r>
      <w:r w:rsidRPr="0072357D">
        <w:rPr>
          <w:rFonts w:ascii="Arial" w:hAnsi="Arial" w:cs="Arial"/>
          <w:sz w:val="24"/>
          <w:szCs w:val="24"/>
        </w:rPr>
        <w:t>.  University of Toronto Press.</w:t>
      </w:r>
    </w:p>
    <w:p w14:paraId="4170B1CC" w14:textId="38640183" w:rsidR="00306B6A" w:rsidRPr="00306B6A" w:rsidRDefault="00306B6A" w:rsidP="00306B6A">
      <w:pPr>
        <w:pStyle w:val="FootnoteText"/>
        <w:rPr>
          <w:rFonts w:ascii="Arial" w:hAnsi="Arial" w:cs="Arial"/>
          <w:sz w:val="24"/>
          <w:szCs w:val="24"/>
        </w:rPr>
      </w:pPr>
      <w:r w:rsidRPr="00306B6A">
        <w:rPr>
          <w:rFonts w:ascii="Arial" w:hAnsi="Arial" w:cs="Arial"/>
          <w:sz w:val="24"/>
          <w:szCs w:val="24"/>
        </w:rPr>
        <w:t xml:space="preserve">White, Angela (2005)   </w:t>
      </w:r>
      <w:r w:rsidRPr="00306B6A">
        <w:rPr>
          <w:rFonts w:ascii="Arial" w:hAnsi="Arial" w:cs="Arial"/>
          <w:i/>
          <w:iCs/>
          <w:sz w:val="24"/>
          <w:szCs w:val="24"/>
        </w:rPr>
        <w:t>Assessment of Parenting Capacity.  Literature Review</w:t>
      </w:r>
      <w:r w:rsidRPr="00306B6A">
        <w:rPr>
          <w:rFonts w:ascii="Arial" w:hAnsi="Arial" w:cs="Arial"/>
          <w:sz w:val="24"/>
          <w:szCs w:val="24"/>
        </w:rPr>
        <w:t xml:space="preserve">. NSW Department of Community Services, Centre for Parenting &amp; Research </w:t>
      </w:r>
    </w:p>
    <w:p w14:paraId="5D729C29" w14:textId="77777777" w:rsidR="00306B6A" w:rsidRPr="00306B6A" w:rsidRDefault="00306B6A" w:rsidP="00306B6A">
      <w:pPr>
        <w:pStyle w:val="FootnoteText"/>
        <w:rPr>
          <w:rFonts w:ascii="Arial" w:hAnsi="Arial" w:cs="Arial"/>
          <w:sz w:val="24"/>
          <w:szCs w:val="24"/>
        </w:rPr>
      </w:pPr>
    </w:p>
    <w:p w14:paraId="1B61C95C" w14:textId="7954C459" w:rsidR="008E0082" w:rsidRDefault="00306B6A" w:rsidP="00306B6A">
      <w:pPr>
        <w:pStyle w:val="FootnoteText"/>
        <w:rPr>
          <w:rFonts w:ascii="Arial" w:hAnsi="Arial" w:cs="Arial"/>
          <w:sz w:val="24"/>
          <w:szCs w:val="24"/>
        </w:rPr>
      </w:pPr>
      <w:r w:rsidRPr="00306B6A">
        <w:rPr>
          <w:rFonts w:ascii="Arial" w:hAnsi="Arial" w:cs="Arial"/>
          <w:sz w:val="24"/>
          <w:szCs w:val="24"/>
        </w:rPr>
        <w:t>White, Angela (2006</w:t>
      </w:r>
      <w:proofErr w:type="gramStart"/>
      <w:r w:rsidRPr="00306B6A">
        <w:rPr>
          <w:rFonts w:ascii="Arial" w:hAnsi="Arial" w:cs="Arial"/>
          <w:sz w:val="24"/>
          <w:szCs w:val="24"/>
        </w:rPr>
        <w:t xml:space="preserve">)  </w:t>
      </w:r>
      <w:r w:rsidRPr="00306B6A">
        <w:rPr>
          <w:rFonts w:ascii="Arial" w:hAnsi="Arial" w:cs="Arial"/>
          <w:i/>
          <w:iCs/>
          <w:sz w:val="24"/>
          <w:szCs w:val="24"/>
        </w:rPr>
        <w:t>Research</w:t>
      </w:r>
      <w:proofErr w:type="gramEnd"/>
      <w:r w:rsidRPr="00306B6A">
        <w:rPr>
          <w:rFonts w:ascii="Arial" w:hAnsi="Arial" w:cs="Arial"/>
          <w:i/>
          <w:iCs/>
          <w:sz w:val="24"/>
          <w:szCs w:val="24"/>
        </w:rPr>
        <w:t xml:space="preserve"> to Practice Notes.  Effective Parenting Capacity Assessment:  Key Issues</w:t>
      </w:r>
      <w:r w:rsidRPr="00306B6A">
        <w:rPr>
          <w:rFonts w:ascii="Arial" w:hAnsi="Arial" w:cs="Arial"/>
          <w:sz w:val="24"/>
          <w:szCs w:val="24"/>
        </w:rPr>
        <w:t xml:space="preserve"> NSW Department of Community Services Centre for Parenting &amp; Research.</w:t>
      </w:r>
    </w:p>
    <w:p w14:paraId="43FD8A62" w14:textId="77777777" w:rsidR="008E0082" w:rsidRDefault="008E0082">
      <w:pPr>
        <w:rPr>
          <w:rFonts w:ascii="Arial" w:hAnsi="Arial" w:cs="Arial"/>
          <w:sz w:val="24"/>
          <w:szCs w:val="24"/>
        </w:rPr>
      </w:pPr>
      <w:r>
        <w:rPr>
          <w:rFonts w:ascii="Arial" w:hAnsi="Arial" w:cs="Arial"/>
          <w:sz w:val="24"/>
          <w:szCs w:val="24"/>
        </w:rPr>
        <w:br w:type="page"/>
      </w:r>
    </w:p>
    <w:p w14:paraId="18F13A42" w14:textId="3CCE7F1B" w:rsidR="00306B6A" w:rsidRPr="00A44329" w:rsidRDefault="00A44329" w:rsidP="00A44329">
      <w:pPr>
        <w:pStyle w:val="FootnoteText"/>
        <w:jc w:val="center"/>
        <w:rPr>
          <w:rFonts w:ascii="Arial" w:hAnsi="Arial" w:cs="Arial"/>
          <w:b/>
          <w:bCs/>
          <w:sz w:val="24"/>
          <w:szCs w:val="24"/>
        </w:rPr>
      </w:pPr>
      <w:r w:rsidRPr="00A44329">
        <w:rPr>
          <w:rFonts w:ascii="Arial" w:hAnsi="Arial" w:cs="Arial"/>
          <w:b/>
          <w:bCs/>
          <w:sz w:val="24"/>
          <w:szCs w:val="24"/>
        </w:rPr>
        <w:lastRenderedPageBreak/>
        <w:t>Appendix A</w:t>
      </w:r>
    </w:p>
    <w:p w14:paraId="5792A912" w14:textId="6356811F" w:rsidR="008E0082" w:rsidRDefault="008E0082" w:rsidP="008E0082">
      <w:pPr>
        <w:pStyle w:val="aparanumbering"/>
        <w:spacing w:before="120" w:beforeAutospacing="0" w:after="120" w:afterAutospacing="0"/>
        <w:jc w:val="center"/>
        <w:rPr>
          <w:rFonts w:ascii="Arial" w:hAnsi="Arial" w:cs="Arial"/>
          <w:b/>
          <w:bCs/>
          <w:color w:val="000000"/>
        </w:rPr>
      </w:pPr>
      <w:r w:rsidRPr="005854EE">
        <w:rPr>
          <w:rFonts w:ascii="Arial" w:hAnsi="Arial" w:cs="Arial"/>
          <w:b/>
          <w:bCs/>
          <w:color w:val="000000"/>
        </w:rPr>
        <w:t>Best Practice Tips for Counsel</w:t>
      </w:r>
      <w:r>
        <w:rPr>
          <w:rFonts w:ascii="Arial" w:hAnsi="Arial" w:cs="Arial"/>
          <w:b/>
          <w:bCs/>
          <w:color w:val="000000"/>
        </w:rPr>
        <w:t xml:space="preserve"> in relation to </w:t>
      </w:r>
      <w:r w:rsidR="006837C6">
        <w:rPr>
          <w:rFonts w:ascii="Arial" w:hAnsi="Arial" w:cs="Arial"/>
          <w:b/>
          <w:bCs/>
          <w:color w:val="000000"/>
        </w:rPr>
        <w:t xml:space="preserve">Parenting Capacity </w:t>
      </w:r>
      <w:r>
        <w:rPr>
          <w:rFonts w:ascii="Arial" w:hAnsi="Arial" w:cs="Arial"/>
          <w:b/>
          <w:bCs/>
          <w:color w:val="000000"/>
        </w:rPr>
        <w:t>Assessments</w:t>
      </w:r>
    </w:p>
    <w:p w14:paraId="4A9F4C21" w14:textId="77777777" w:rsidR="008E0082" w:rsidRPr="005854EE" w:rsidRDefault="008E0082" w:rsidP="008E0082">
      <w:pPr>
        <w:pStyle w:val="aparanumbering"/>
        <w:spacing w:before="120" w:beforeAutospacing="0" w:after="120" w:afterAutospacing="0"/>
        <w:jc w:val="center"/>
        <w:rPr>
          <w:rFonts w:ascii="Arial" w:hAnsi="Arial" w:cs="Arial"/>
          <w:b/>
          <w:bCs/>
          <w:color w:val="000000"/>
        </w:rPr>
      </w:pPr>
    </w:p>
    <w:p w14:paraId="10B1AE62" w14:textId="3E29302D" w:rsidR="00B44CCE" w:rsidRDefault="00B44CCE" w:rsidP="00B44CCE">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 xml:space="preserve">Consider </w:t>
      </w:r>
      <w:r w:rsidR="006837C6">
        <w:rPr>
          <w:rFonts w:ascii="Arial" w:hAnsi="Arial" w:cs="Arial"/>
          <w:color w:val="000000"/>
        </w:rPr>
        <w:t xml:space="preserve">carefully </w:t>
      </w:r>
      <w:r>
        <w:rPr>
          <w:rFonts w:ascii="Arial" w:hAnsi="Arial" w:cs="Arial"/>
          <w:color w:val="000000"/>
        </w:rPr>
        <w:t xml:space="preserve">whether a full parenting capacity assessment is </w:t>
      </w:r>
      <w:proofErr w:type="gramStart"/>
      <w:r>
        <w:rPr>
          <w:rFonts w:ascii="Arial" w:hAnsi="Arial" w:cs="Arial"/>
          <w:color w:val="000000"/>
        </w:rPr>
        <w:t>really necessary</w:t>
      </w:r>
      <w:proofErr w:type="gramEnd"/>
      <w:r>
        <w:rPr>
          <w:rFonts w:ascii="Arial" w:hAnsi="Arial" w:cs="Arial"/>
          <w:color w:val="000000"/>
        </w:rPr>
        <w:t xml:space="preserve">. A better alternative may be a targeted psychological assessment of the parent or child or both. </w:t>
      </w:r>
    </w:p>
    <w:p w14:paraId="306CF068" w14:textId="58F235F6" w:rsidR="008E0082" w:rsidRDefault="008E0082"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Always obtain a section 98 assessment order on the prescribed endorsement form even where the proposed assessment is on consent.</w:t>
      </w:r>
    </w:p>
    <w:p w14:paraId="5E4F8997" w14:textId="77777777" w:rsidR="008E0082" w:rsidRDefault="008E0082"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Follow the guidelines for court ordered assessments which are set out in sections 34-36 of Ontario Regulation 155/18.</w:t>
      </w:r>
    </w:p>
    <w:p w14:paraId="2C5E4E75" w14:textId="77777777" w:rsidR="008E0082" w:rsidRDefault="008E0082"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 xml:space="preserve">Carefully vet your assessor at the front end by reviewing their CV, speaking to </w:t>
      </w:r>
      <w:proofErr w:type="gramStart"/>
      <w:r>
        <w:rPr>
          <w:rFonts w:ascii="Arial" w:hAnsi="Arial" w:cs="Arial"/>
          <w:color w:val="000000"/>
        </w:rPr>
        <w:t>colleagues</w:t>
      </w:r>
      <w:proofErr w:type="gramEnd"/>
      <w:r>
        <w:rPr>
          <w:rFonts w:ascii="Arial" w:hAnsi="Arial" w:cs="Arial"/>
          <w:color w:val="000000"/>
        </w:rPr>
        <w:t xml:space="preserve"> and conducting a caselaw search to review how the expert’s evidence has been evaluated by other courts.  </w:t>
      </w:r>
    </w:p>
    <w:p w14:paraId="38F4A7DC" w14:textId="77777777" w:rsidR="008E0082" w:rsidRDefault="008E0082"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 xml:space="preserve">Verify the credentials of the assessor in accordance with </w:t>
      </w:r>
      <w:r w:rsidRPr="005854EE">
        <w:rPr>
          <w:rFonts w:ascii="Arial" w:hAnsi="Arial" w:cs="Arial"/>
          <w:b/>
          <w:bCs/>
          <w:color w:val="000000"/>
        </w:rPr>
        <w:t>Policy Directive: CW 001-19</w:t>
      </w:r>
      <w:r>
        <w:rPr>
          <w:rFonts w:ascii="Arial" w:hAnsi="Arial" w:cs="Arial"/>
          <w:b/>
          <w:bCs/>
          <w:color w:val="000000"/>
        </w:rPr>
        <w:t xml:space="preserve"> Ministry of Children, Community and Social Services</w:t>
      </w:r>
      <w:r>
        <w:rPr>
          <w:rFonts w:ascii="Arial" w:hAnsi="Arial" w:cs="Arial"/>
          <w:color w:val="000000"/>
        </w:rPr>
        <w:t>.</w:t>
      </w:r>
    </w:p>
    <w:p w14:paraId="07B20F65" w14:textId="77777777" w:rsidR="00866353" w:rsidRDefault="008E0082" w:rsidP="007534B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 xml:space="preserve">Review with the assessor their understanding or familiarity with the current legal principles in child protection related to expert evidence, the changes to the law relevant to post-adoption access, etc. The assessor must </w:t>
      </w:r>
      <w:proofErr w:type="gramStart"/>
      <w:r>
        <w:rPr>
          <w:rFonts w:ascii="Arial" w:hAnsi="Arial" w:cs="Arial"/>
          <w:color w:val="000000"/>
        </w:rPr>
        <w:t>have an understanding of</w:t>
      </w:r>
      <w:proofErr w:type="gramEnd"/>
      <w:r>
        <w:rPr>
          <w:rFonts w:ascii="Arial" w:hAnsi="Arial" w:cs="Arial"/>
          <w:color w:val="000000"/>
        </w:rPr>
        <w:t xml:space="preserve"> the child protection legal context. </w:t>
      </w:r>
    </w:p>
    <w:p w14:paraId="24EE2931" w14:textId="07298848" w:rsidR="007534B2" w:rsidRPr="00866353" w:rsidRDefault="008F6F70" w:rsidP="007534B2">
      <w:pPr>
        <w:pStyle w:val="aparanumbering"/>
        <w:numPr>
          <w:ilvl w:val="0"/>
          <w:numId w:val="21"/>
        </w:numPr>
        <w:spacing w:before="120" w:beforeAutospacing="0" w:after="120" w:afterAutospacing="0"/>
        <w:jc w:val="both"/>
        <w:rPr>
          <w:rFonts w:ascii="Arial" w:hAnsi="Arial" w:cs="Arial"/>
          <w:color w:val="000000"/>
        </w:rPr>
      </w:pPr>
      <w:r w:rsidRPr="00866353">
        <w:rPr>
          <w:rFonts w:ascii="Arial" w:hAnsi="Arial" w:cs="Arial"/>
          <w:color w:val="000000"/>
        </w:rPr>
        <w:t>Counsel should recommend to every psychologist assessor that they review the APA Guidelines</w:t>
      </w:r>
      <w:r w:rsidR="00352667" w:rsidRPr="00866353">
        <w:rPr>
          <w:rFonts w:ascii="Arial" w:hAnsi="Arial" w:cs="Arial"/>
          <w:color w:val="000000"/>
        </w:rPr>
        <w:t xml:space="preserve"> for Psychological Evaluations in Child Protection Matters.</w:t>
      </w:r>
      <w:r w:rsidR="007534B2" w:rsidRPr="00866353">
        <w:rPr>
          <w:rFonts w:ascii="Arial" w:hAnsi="Arial" w:cs="Arial"/>
          <w:color w:val="000000"/>
        </w:rPr>
        <w:t xml:space="preserve">  </w:t>
      </w:r>
      <w:r w:rsidR="00866353">
        <w:rPr>
          <w:rFonts w:ascii="Arial" w:hAnsi="Arial" w:cs="Arial"/>
          <w:color w:val="000000"/>
        </w:rPr>
        <w:t xml:space="preserve">They should also review </w:t>
      </w:r>
      <w:r w:rsidR="007534B2" w:rsidRPr="00866353">
        <w:rPr>
          <w:rFonts w:ascii="Arial" w:hAnsi="Arial" w:cs="Arial"/>
        </w:rPr>
        <w:t xml:space="preserve">Budd, K.S., Connell, M. and Clark, Jennifer (2011) </w:t>
      </w:r>
      <w:r w:rsidR="007534B2" w:rsidRPr="00866353">
        <w:rPr>
          <w:rFonts w:ascii="Arial" w:hAnsi="Arial" w:cs="Arial"/>
          <w:i/>
          <w:iCs/>
        </w:rPr>
        <w:t>Evaluation of Parenting Capacity in Child Protection:  Best Practices in Forensic Mental Health Assessment</w:t>
      </w:r>
      <w:r w:rsidR="007534B2" w:rsidRPr="00866353">
        <w:rPr>
          <w:rFonts w:ascii="Arial" w:hAnsi="Arial" w:cs="Arial"/>
        </w:rPr>
        <w:t>. Oxford University Press Inc.</w:t>
      </w:r>
    </w:p>
    <w:p w14:paraId="37374206" w14:textId="0C607FA7" w:rsidR="008E0082" w:rsidRDefault="008E0082"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 xml:space="preserve">Parties should provide some basic joint parameters to the assessor with respect to methodology having regard to the critique caselaw such as </w:t>
      </w:r>
      <w:r w:rsidRPr="00FC1AAF">
        <w:rPr>
          <w:rFonts w:ascii="Arial" w:hAnsi="Arial" w:cs="Arial"/>
          <w:i/>
          <w:iCs/>
          <w:color w:val="000000"/>
        </w:rPr>
        <w:t>CAST v. A.L</w:t>
      </w:r>
      <w:r>
        <w:rPr>
          <w:rFonts w:ascii="Arial" w:hAnsi="Arial" w:cs="Arial"/>
          <w:color w:val="000000"/>
        </w:rPr>
        <w:t xml:space="preserve">. and </w:t>
      </w:r>
      <w:r w:rsidRPr="00BB2B86">
        <w:rPr>
          <w:rFonts w:ascii="Arial" w:hAnsi="Arial" w:cs="Arial"/>
          <w:i/>
          <w:iCs/>
          <w:color w:val="000000"/>
        </w:rPr>
        <w:t>Halton</w:t>
      </w:r>
      <w:r>
        <w:rPr>
          <w:rFonts w:ascii="Arial" w:hAnsi="Arial" w:cs="Arial"/>
          <w:color w:val="000000"/>
        </w:rPr>
        <w:t xml:space="preserve"> </w:t>
      </w:r>
      <w:r w:rsidRPr="00FC1AAF">
        <w:rPr>
          <w:rFonts w:ascii="Arial" w:hAnsi="Arial" w:cs="Arial"/>
          <w:i/>
          <w:iCs/>
          <w:color w:val="000000"/>
        </w:rPr>
        <w:t>Children’s Aid Society v. A.W</w:t>
      </w:r>
      <w:r>
        <w:rPr>
          <w:rFonts w:ascii="Arial" w:hAnsi="Arial" w:cs="Arial"/>
          <w:color w:val="000000"/>
        </w:rPr>
        <w:t>. 2016 ONCJ 358.</w:t>
      </w:r>
      <w:r w:rsidR="00910815">
        <w:rPr>
          <w:rFonts w:ascii="Arial" w:hAnsi="Arial" w:cs="Arial"/>
          <w:color w:val="000000"/>
        </w:rPr>
        <w:t xml:space="preserve">  The assessor should be able to explain his general methodology, the testing instruments, if any, that he will use, and how he was trained to conduct a parenting capacity assessment.</w:t>
      </w:r>
    </w:p>
    <w:p w14:paraId="5DECA8B5" w14:textId="77777777" w:rsidR="008E0082" w:rsidRDefault="008E0082"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 xml:space="preserve">Ensure that the assessor clearly understands their duty to the court pursuant to the </w:t>
      </w:r>
      <w:r w:rsidRPr="00927F21">
        <w:rPr>
          <w:rFonts w:ascii="Arial" w:hAnsi="Arial" w:cs="Arial"/>
          <w:i/>
          <w:iCs/>
          <w:color w:val="000000"/>
        </w:rPr>
        <w:t>Family Law Rules</w:t>
      </w:r>
      <w:r>
        <w:rPr>
          <w:rFonts w:ascii="Arial" w:hAnsi="Arial" w:cs="Arial"/>
          <w:color w:val="000000"/>
        </w:rPr>
        <w:t xml:space="preserve"> 20.1 and 20.2. Ensure that the assessor signs and understands the Acknowledgement of Expert’s Duty (Form 20.2).</w:t>
      </w:r>
    </w:p>
    <w:p w14:paraId="316366DC" w14:textId="2CB4BCF4" w:rsidR="008E0082" w:rsidRDefault="008E0082"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If you are society counsel and are faced with a parent who has receiv</w:t>
      </w:r>
      <w:r w:rsidR="00BB2B86">
        <w:rPr>
          <w:rFonts w:ascii="Arial" w:hAnsi="Arial" w:cs="Arial"/>
          <w:color w:val="000000"/>
        </w:rPr>
        <w:t>ed</w:t>
      </w:r>
      <w:r>
        <w:rPr>
          <w:rFonts w:ascii="Arial" w:hAnsi="Arial" w:cs="Arial"/>
          <w:color w:val="000000"/>
        </w:rPr>
        <w:t xml:space="preserve"> funding for a critique opinion, consider asking the chosen critic to conduct a second full PCA as an alternative to preparing a methodological critique.</w:t>
      </w:r>
      <w:r w:rsidR="00256567">
        <w:rPr>
          <w:rFonts w:ascii="Arial" w:hAnsi="Arial" w:cs="Arial"/>
          <w:color w:val="000000"/>
        </w:rPr>
        <w:t xml:space="preserve"> The protection agency should seriously consider funding a second assessment as an alternative to a critique.</w:t>
      </w:r>
    </w:p>
    <w:p w14:paraId="12E572C9" w14:textId="71A53639" w:rsidR="00B110D3" w:rsidRDefault="00286830"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 xml:space="preserve">Ask the assessor to clearly document each </w:t>
      </w:r>
      <w:r w:rsidR="006C3432">
        <w:rPr>
          <w:rFonts w:ascii="Arial" w:hAnsi="Arial" w:cs="Arial"/>
          <w:color w:val="000000"/>
        </w:rPr>
        <w:t xml:space="preserve">step in their assessment process </w:t>
      </w:r>
      <w:r w:rsidR="006A4A45">
        <w:rPr>
          <w:rFonts w:ascii="Arial" w:hAnsi="Arial" w:cs="Arial"/>
          <w:color w:val="000000"/>
        </w:rPr>
        <w:t xml:space="preserve">along with the time taken for each step.  Advise them to keep </w:t>
      </w:r>
      <w:r w:rsidR="006C3432">
        <w:rPr>
          <w:rFonts w:ascii="Arial" w:hAnsi="Arial" w:cs="Arial"/>
          <w:color w:val="000000"/>
        </w:rPr>
        <w:t xml:space="preserve">all raw data in case it is needed </w:t>
      </w:r>
      <w:r w:rsidR="00B44D88">
        <w:rPr>
          <w:rFonts w:ascii="Arial" w:hAnsi="Arial" w:cs="Arial"/>
          <w:color w:val="000000"/>
        </w:rPr>
        <w:t>for review within the litigation process.</w:t>
      </w:r>
    </w:p>
    <w:p w14:paraId="42E78693" w14:textId="54D72981" w:rsidR="00256567" w:rsidRDefault="00B110D3"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lastRenderedPageBreak/>
        <w:t>Whe</w:t>
      </w:r>
      <w:r w:rsidR="00162FA0">
        <w:rPr>
          <w:rFonts w:ascii="Arial" w:hAnsi="Arial" w:cs="Arial"/>
          <w:color w:val="000000"/>
        </w:rPr>
        <w:t>n</w:t>
      </w:r>
      <w:r>
        <w:rPr>
          <w:rFonts w:ascii="Arial" w:hAnsi="Arial" w:cs="Arial"/>
          <w:color w:val="000000"/>
        </w:rPr>
        <w:t xml:space="preserve"> relev</w:t>
      </w:r>
      <w:r w:rsidR="006A4A45">
        <w:rPr>
          <w:rFonts w:ascii="Arial" w:hAnsi="Arial" w:cs="Arial"/>
          <w:color w:val="000000"/>
        </w:rPr>
        <w:t xml:space="preserve">ant to the </w:t>
      </w:r>
      <w:proofErr w:type="gramStart"/>
      <w:r w:rsidR="006A4A45">
        <w:rPr>
          <w:rFonts w:ascii="Arial" w:hAnsi="Arial" w:cs="Arial"/>
          <w:color w:val="000000"/>
        </w:rPr>
        <w:t>particular family</w:t>
      </w:r>
      <w:proofErr w:type="gramEnd"/>
      <w:r w:rsidR="006A4A45">
        <w:rPr>
          <w:rFonts w:ascii="Arial" w:hAnsi="Arial" w:cs="Arial"/>
          <w:color w:val="000000"/>
        </w:rPr>
        <w:t xml:space="preserve"> being assessed, ensure that </w:t>
      </w:r>
      <w:r w:rsidR="00300389">
        <w:rPr>
          <w:rFonts w:ascii="Arial" w:hAnsi="Arial" w:cs="Arial"/>
          <w:color w:val="000000"/>
        </w:rPr>
        <w:t xml:space="preserve">the assessor has a good understanding of the impact of racism </w:t>
      </w:r>
      <w:r w:rsidR="00BB2B86">
        <w:rPr>
          <w:rFonts w:ascii="Arial" w:hAnsi="Arial" w:cs="Arial"/>
          <w:color w:val="000000"/>
        </w:rPr>
        <w:t xml:space="preserve">and inter-generational trauma </w:t>
      </w:r>
      <w:r w:rsidR="00300389">
        <w:rPr>
          <w:rFonts w:ascii="Arial" w:hAnsi="Arial" w:cs="Arial"/>
          <w:color w:val="000000"/>
        </w:rPr>
        <w:t>on indigenous and racialized communities.  As well, ensure the assessor understands and conveys in her report the limitations of any psychometric testing instruments they may use in relation</w:t>
      </w:r>
      <w:r w:rsidR="000C1D9F">
        <w:rPr>
          <w:rFonts w:ascii="Arial" w:hAnsi="Arial" w:cs="Arial"/>
          <w:color w:val="000000"/>
        </w:rPr>
        <w:t xml:space="preserve"> to the </w:t>
      </w:r>
      <w:proofErr w:type="gramStart"/>
      <w:r w:rsidR="000C1D9F">
        <w:rPr>
          <w:rFonts w:ascii="Arial" w:hAnsi="Arial" w:cs="Arial"/>
          <w:color w:val="000000"/>
        </w:rPr>
        <w:t>particular racial/cultural</w:t>
      </w:r>
      <w:proofErr w:type="gramEnd"/>
      <w:r w:rsidR="000C1D9F">
        <w:rPr>
          <w:rFonts w:ascii="Arial" w:hAnsi="Arial" w:cs="Arial"/>
          <w:color w:val="000000"/>
        </w:rPr>
        <w:t xml:space="preserve"> background of the parent being assessed.</w:t>
      </w:r>
    </w:p>
    <w:p w14:paraId="51F339EE" w14:textId="770102E7" w:rsidR="00413F0F" w:rsidRDefault="00413F0F" w:rsidP="008E0082">
      <w:pPr>
        <w:pStyle w:val="aparanumbering"/>
        <w:numPr>
          <w:ilvl w:val="0"/>
          <w:numId w:val="21"/>
        </w:numPr>
        <w:spacing w:before="120" w:beforeAutospacing="0" w:after="120" w:afterAutospacing="0"/>
        <w:jc w:val="both"/>
        <w:rPr>
          <w:rFonts w:ascii="Arial" w:hAnsi="Arial" w:cs="Arial"/>
          <w:color w:val="000000"/>
        </w:rPr>
      </w:pPr>
      <w:r>
        <w:rPr>
          <w:rFonts w:ascii="Arial" w:hAnsi="Arial" w:cs="Arial"/>
          <w:color w:val="000000"/>
        </w:rPr>
        <w:t>CAS lawyers need to remember that child protection agencies have broad statutory</w:t>
      </w:r>
      <w:r w:rsidR="00C83AFF">
        <w:rPr>
          <w:rFonts w:ascii="Arial" w:hAnsi="Arial" w:cs="Arial"/>
          <w:color w:val="000000"/>
        </w:rPr>
        <w:t xml:space="preserve"> </w:t>
      </w:r>
      <w:proofErr w:type="gramStart"/>
      <w:r w:rsidR="00C83AFF">
        <w:rPr>
          <w:rFonts w:ascii="Arial" w:hAnsi="Arial" w:cs="Arial"/>
          <w:color w:val="000000"/>
        </w:rPr>
        <w:t>powers</w:t>
      </w:r>
      <w:proofErr w:type="gramEnd"/>
      <w:r w:rsidR="00C83AFF">
        <w:rPr>
          <w:rFonts w:ascii="Arial" w:hAnsi="Arial" w:cs="Arial"/>
          <w:color w:val="000000"/>
        </w:rPr>
        <w:t xml:space="preserve"> and their actions are subject to Charter scrutiny.  The </w:t>
      </w:r>
      <w:proofErr w:type="spellStart"/>
      <w:r w:rsidR="00C83AFF">
        <w:rPr>
          <w:rFonts w:ascii="Arial" w:hAnsi="Arial" w:cs="Arial"/>
          <w:color w:val="000000"/>
        </w:rPr>
        <w:t>Motherisk</w:t>
      </w:r>
      <w:proofErr w:type="spellEnd"/>
      <w:r w:rsidR="00C83AFF">
        <w:rPr>
          <w:rFonts w:ascii="Arial" w:hAnsi="Arial" w:cs="Arial"/>
          <w:color w:val="000000"/>
        </w:rPr>
        <w:t xml:space="preserve"> Commission found that Society counsel have a special public interest responsibility that is akin to crown attorneys to make best efforts to ensure the reliability of any expert opinion evidence upon whi</w:t>
      </w:r>
      <w:r w:rsidR="00B21247">
        <w:rPr>
          <w:rFonts w:ascii="Arial" w:hAnsi="Arial" w:cs="Arial"/>
          <w:color w:val="000000"/>
        </w:rPr>
        <w:t>ch it is relying and to report any serious concerns about experts to their regulatory bodies. (</w:t>
      </w:r>
      <w:proofErr w:type="gramStart"/>
      <w:r w:rsidR="00B21247">
        <w:rPr>
          <w:rFonts w:ascii="Arial" w:hAnsi="Arial" w:cs="Arial"/>
          <w:color w:val="000000"/>
        </w:rPr>
        <w:t>see</w:t>
      </w:r>
      <w:proofErr w:type="gramEnd"/>
      <w:r w:rsidR="00B21247">
        <w:rPr>
          <w:rFonts w:ascii="Arial" w:hAnsi="Arial" w:cs="Arial"/>
          <w:color w:val="000000"/>
        </w:rPr>
        <w:t xml:space="preserve"> pages 140-141 of the </w:t>
      </w:r>
      <w:r w:rsidR="00B21247" w:rsidRPr="00A7032B">
        <w:rPr>
          <w:rFonts w:ascii="Arial" w:hAnsi="Arial" w:cs="Arial"/>
          <w:i/>
          <w:iCs/>
          <w:color w:val="000000"/>
        </w:rPr>
        <w:t xml:space="preserve">Report of the </w:t>
      </w:r>
      <w:proofErr w:type="spellStart"/>
      <w:r w:rsidR="00B21247" w:rsidRPr="00A7032B">
        <w:rPr>
          <w:rFonts w:ascii="Arial" w:hAnsi="Arial" w:cs="Arial"/>
          <w:i/>
          <w:iCs/>
          <w:color w:val="000000"/>
        </w:rPr>
        <w:t>Motherisk</w:t>
      </w:r>
      <w:proofErr w:type="spellEnd"/>
      <w:r w:rsidR="00B21247" w:rsidRPr="00A7032B">
        <w:rPr>
          <w:rFonts w:ascii="Arial" w:hAnsi="Arial" w:cs="Arial"/>
          <w:i/>
          <w:iCs/>
          <w:color w:val="000000"/>
        </w:rPr>
        <w:t xml:space="preserve"> Commission</w:t>
      </w:r>
      <w:r w:rsidR="00B21247">
        <w:rPr>
          <w:rFonts w:ascii="Arial" w:hAnsi="Arial" w:cs="Arial"/>
          <w:color w:val="000000"/>
        </w:rPr>
        <w:t>).</w:t>
      </w:r>
    </w:p>
    <w:p w14:paraId="3A0DE0AA" w14:textId="77777777" w:rsidR="00306B6A" w:rsidRPr="007F575E" w:rsidRDefault="00306B6A" w:rsidP="00B045C6">
      <w:pPr>
        <w:rPr>
          <w:rFonts w:ascii="Arial" w:hAnsi="Arial" w:cs="Arial"/>
          <w:sz w:val="24"/>
          <w:szCs w:val="24"/>
        </w:rPr>
      </w:pPr>
    </w:p>
    <w:p w14:paraId="0FC7155C" w14:textId="77777777" w:rsidR="00601AFC" w:rsidRPr="00545FA2" w:rsidRDefault="00601AFC" w:rsidP="00B045C6">
      <w:pPr>
        <w:rPr>
          <w:rFonts w:ascii="Arial" w:hAnsi="Arial" w:cs="Arial"/>
          <w:sz w:val="24"/>
          <w:szCs w:val="24"/>
        </w:rPr>
      </w:pPr>
    </w:p>
    <w:p w14:paraId="44BB4551" w14:textId="77777777" w:rsidR="00AE3139" w:rsidRDefault="00AE3139" w:rsidP="00B045C6">
      <w:pPr>
        <w:rPr>
          <w:rFonts w:ascii="Arial" w:hAnsi="Arial" w:cs="Arial"/>
          <w:sz w:val="24"/>
          <w:szCs w:val="24"/>
        </w:rPr>
      </w:pPr>
    </w:p>
    <w:p w14:paraId="53CD8714" w14:textId="77777777" w:rsidR="006D52B9" w:rsidRDefault="006D52B9" w:rsidP="00B045C6">
      <w:pPr>
        <w:rPr>
          <w:rFonts w:ascii="Arial" w:hAnsi="Arial" w:cs="Arial"/>
          <w:sz w:val="24"/>
          <w:szCs w:val="24"/>
        </w:rPr>
      </w:pPr>
    </w:p>
    <w:p w14:paraId="6359E955" w14:textId="77777777" w:rsidR="008A6E07" w:rsidRDefault="008A6E07" w:rsidP="00B045C6">
      <w:pPr>
        <w:rPr>
          <w:rFonts w:ascii="Arial" w:hAnsi="Arial" w:cs="Arial"/>
          <w:sz w:val="24"/>
          <w:szCs w:val="24"/>
        </w:rPr>
      </w:pPr>
    </w:p>
    <w:p w14:paraId="67089678" w14:textId="77777777" w:rsidR="005F6014" w:rsidRDefault="005F6014" w:rsidP="00B045C6">
      <w:pPr>
        <w:rPr>
          <w:rFonts w:ascii="Arial" w:hAnsi="Arial" w:cs="Arial"/>
          <w:sz w:val="24"/>
          <w:szCs w:val="24"/>
        </w:rPr>
      </w:pPr>
    </w:p>
    <w:p w14:paraId="3BC0A611" w14:textId="77777777" w:rsidR="004F3C67" w:rsidRPr="00B045C6" w:rsidRDefault="004F3C67" w:rsidP="00B045C6">
      <w:pPr>
        <w:rPr>
          <w:rFonts w:ascii="Arial" w:hAnsi="Arial" w:cs="Arial"/>
          <w:sz w:val="24"/>
          <w:szCs w:val="24"/>
        </w:rPr>
      </w:pPr>
    </w:p>
    <w:p w14:paraId="05F4C0F2" w14:textId="77777777" w:rsidR="00901CAA" w:rsidRPr="00901CAA" w:rsidRDefault="00901CAA" w:rsidP="00901CAA">
      <w:pPr>
        <w:rPr>
          <w:rFonts w:ascii="Arial" w:hAnsi="Arial" w:cs="Arial"/>
          <w:sz w:val="24"/>
          <w:szCs w:val="24"/>
        </w:rPr>
      </w:pPr>
    </w:p>
    <w:p w14:paraId="593963A9" w14:textId="77777777" w:rsidR="00291076" w:rsidRPr="00291076" w:rsidRDefault="00291076" w:rsidP="00C91169">
      <w:pPr>
        <w:rPr>
          <w:rFonts w:ascii="Arial" w:hAnsi="Arial" w:cs="Arial"/>
          <w:sz w:val="24"/>
          <w:szCs w:val="24"/>
        </w:rPr>
      </w:pPr>
    </w:p>
    <w:p w14:paraId="4E89B160" w14:textId="6E30CA3A" w:rsidR="00654C78" w:rsidRDefault="005A40A7">
      <w:pPr>
        <w:rPr>
          <w:rFonts w:ascii="Arial" w:hAnsi="Arial" w:cs="Arial"/>
          <w:sz w:val="24"/>
          <w:szCs w:val="24"/>
        </w:rPr>
      </w:pPr>
      <w:r>
        <w:rPr>
          <w:rFonts w:ascii="Arial" w:hAnsi="Arial" w:cs="Arial"/>
          <w:sz w:val="24"/>
          <w:szCs w:val="24"/>
        </w:rPr>
        <w:t xml:space="preserve"> </w:t>
      </w:r>
    </w:p>
    <w:p w14:paraId="79B9ABE0" w14:textId="77777777" w:rsidR="005A0541" w:rsidRDefault="005A0541">
      <w:pPr>
        <w:rPr>
          <w:rFonts w:ascii="Arial" w:hAnsi="Arial" w:cs="Arial"/>
          <w:sz w:val="24"/>
          <w:szCs w:val="24"/>
        </w:rPr>
      </w:pPr>
    </w:p>
    <w:p w14:paraId="0745CD15" w14:textId="77777777" w:rsidR="004520D6" w:rsidRPr="00135EFF" w:rsidRDefault="004520D6">
      <w:pPr>
        <w:rPr>
          <w:rFonts w:ascii="Arial" w:hAnsi="Arial" w:cs="Arial"/>
          <w:sz w:val="24"/>
          <w:szCs w:val="24"/>
        </w:rPr>
      </w:pPr>
    </w:p>
    <w:sectPr w:rsidR="004520D6" w:rsidRPr="00135EFF" w:rsidSect="00124673">
      <w:footerReference w:type="default" r:id="rId10"/>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91223" w14:textId="77777777" w:rsidR="00020DAC" w:rsidRDefault="00020DAC" w:rsidP="00AE1A45">
      <w:pPr>
        <w:spacing w:after="0" w:line="240" w:lineRule="auto"/>
      </w:pPr>
      <w:r>
        <w:separator/>
      </w:r>
    </w:p>
  </w:endnote>
  <w:endnote w:type="continuationSeparator" w:id="0">
    <w:p w14:paraId="7520A79E" w14:textId="77777777" w:rsidR="00020DAC" w:rsidRDefault="00020DAC" w:rsidP="00AE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3773"/>
      <w:docPartObj>
        <w:docPartGallery w:val="Page Numbers (Bottom of Page)"/>
        <w:docPartUnique/>
      </w:docPartObj>
    </w:sdtPr>
    <w:sdtEndPr>
      <w:rPr>
        <w:noProof/>
      </w:rPr>
    </w:sdtEndPr>
    <w:sdtContent>
      <w:p w14:paraId="3EAEBCB1" w14:textId="3117FD19" w:rsidR="0038779A" w:rsidRDefault="003877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32AD42" w14:textId="77777777" w:rsidR="0038779A" w:rsidRDefault="0038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208C" w14:textId="77777777" w:rsidR="00020DAC" w:rsidRDefault="00020DAC" w:rsidP="00AE1A45">
      <w:pPr>
        <w:spacing w:after="0" w:line="240" w:lineRule="auto"/>
      </w:pPr>
      <w:r>
        <w:separator/>
      </w:r>
    </w:p>
  </w:footnote>
  <w:footnote w:type="continuationSeparator" w:id="0">
    <w:p w14:paraId="443122D3" w14:textId="77777777" w:rsidR="00020DAC" w:rsidRDefault="00020DAC" w:rsidP="00AE1A45">
      <w:pPr>
        <w:spacing w:after="0" w:line="240" w:lineRule="auto"/>
      </w:pPr>
      <w:r>
        <w:continuationSeparator/>
      </w:r>
    </w:p>
  </w:footnote>
  <w:footnote w:id="1">
    <w:p w14:paraId="1A9D21C1" w14:textId="77777777" w:rsidR="00CC205A" w:rsidRDefault="00B268EC" w:rsidP="00A94F8F">
      <w:pPr>
        <w:pStyle w:val="Footer"/>
      </w:pPr>
      <w:r>
        <w:rPr>
          <w:rStyle w:val="FootnoteReference"/>
        </w:rPr>
        <w:footnoteRef/>
      </w:r>
      <w:r>
        <w:t xml:space="preserve"> </w:t>
      </w:r>
      <w:r w:rsidR="00CC205A">
        <w:t xml:space="preserve">Court-Ordered Assessments in Ontario Child Welfare Cases:  Review and Recommendations for </w:t>
      </w:r>
      <w:proofErr w:type="gramStart"/>
      <w:r w:rsidR="00CC205A">
        <w:t>Reform  Nicholas</w:t>
      </w:r>
      <w:proofErr w:type="gramEnd"/>
      <w:r w:rsidR="00CC205A">
        <w:t xml:space="preserve"> </w:t>
      </w:r>
      <w:proofErr w:type="spellStart"/>
      <w:r w:rsidR="00CC205A">
        <w:t>Bala</w:t>
      </w:r>
      <w:proofErr w:type="spellEnd"/>
      <w:r w:rsidR="00CC205A">
        <w:t xml:space="preserve"> and Alan </w:t>
      </w:r>
      <w:proofErr w:type="spellStart"/>
      <w:r w:rsidR="00CC205A">
        <w:t>Leschied</w:t>
      </w:r>
      <w:proofErr w:type="spellEnd"/>
      <w:r w:rsidR="00CC205A">
        <w:t xml:space="preserve"> Canadian Journal of Family Law [Vol. 24, 2008].  Professors </w:t>
      </w:r>
      <w:proofErr w:type="spellStart"/>
      <w:r w:rsidR="00CC205A">
        <w:t>Bala</w:t>
      </w:r>
      <w:proofErr w:type="spellEnd"/>
      <w:r w:rsidR="00CC205A">
        <w:t xml:space="preserve"> and </w:t>
      </w:r>
      <w:proofErr w:type="spellStart"/>
      <w:r w:rsidR="00CC205A">
        <w:t>Leschied</w:t>
      </w:r>
      <w:proofErr w:type="spellEnd"/>
      <w:r w:rsidR="00CC205A">
        <w:t xml:space="preserve"> were retained by the Assessments Working Group established under a Family Court Steering Committee which was established with representatives from the judiciary, the </w:t>
      </w:r>
      <w:proofErr w:type="gramStart"/>
      <w:r w:rsidR="00CC205A">
        <w:t>government</w:t>
      </w:r>
      <w:proofErr w:type="gramEnd"/>
      <w:r w:rsidR="00CC205A">
        <w:t xml:space="preserve"> and the bar to address various issues related to the adjudication of child protection cases.</w:t>
      </w:r>
    </w:p>
    <w:p w14:paraId="681D39C9" w14:textId="1924A176" w:rsidR="00B268EC" w:rsidRDefault="00B268EC">
      <w:pPr>
        <w:pStyle w:val="FootnoteText"/>
      </w:pPr>
    </w:p>
  </w:footnote>
  <w:footnote w:id="2">
    <w:p w14:paraId="048EC22C" w14:textId="270B6996" w:rsidR="00CC205A" w:rsidRDefault="00CC205A">
      <w:pPr>
        <w:pStyle w:val="FootnoteText"/>
      </w:pPr>
      <w:r>
        <w:rPr>
          <w:rStyle w:val="FootnoteReference"/>
        </w:rPr>
        <w:footnoteRef/>
      </w:r>
      <w:r>
        <w:t xml:space="preserve"> </w:t>
      </w:r>
      <w:r w:rsidR="00A679D4">
        <w:t>Ibid at page 21</w:t>
      </w:r>
    </w:p>
  </w:footnote>
  <w:footnote w:id="3">
    <w:p w14:paraId="5B7B3962" w14:textId="47EF90BD" w:rsidR="00A679D4" w:rsidRDefault="00A679D4">
      <w:pPr>
        <w:pStyle w:val="FootnoteText"/>
      </w:pPr>
      <w:r>
        <w:rPr>
          <w:rStyle w:val="FootnoteReference"/>
        </w:rPr>
        <w:footnoteRef/>
      </w:r>
      <w:r>
        <w:t xml:space="preserve"> </w:t>
      </w:r>
      <w:r w:rsidR="0096501A">
        <w:t>Ibid at pages 29, 31, 46 and 51.</w:t>
      </w:r>
    </w:p>
  </w:footnote>
  <w:footnote w:id="4">
    <w:p w14:paraId="1B7804BC" w14:textId="55BF5557" w:rsidR="00116528" w:rsidRDefault="00116528">
      <w:pPr>
        <w:pStyle w:val="FootnoteText"/>
      </w:pPr>
      <w:r>
        <w:rPr>
          <w:rStyle w:val="FootnoteReference"/>
        </w:rPr>
        <w:footnoteRef/>
      </w:r>
      <w:r>
        <w:t xml:space="preserve"> </w:t>
      </w:r>
      <w:r w:rsidR="00B67D2F">
        <w:t xml:space="preserve">Dr. </w:t>
      </w:r>
      <w:proofErr w:type="spellStart"/>
      <w:r w:rsidR="00B67D2F">
        <w:t>Bala</w:t>
      </w:r>
      <w:proofErr w:type="spellEnd"/>
      <w:r w:rsidR="00B67D2F">
        <w:t xml:space="preserve"> and Dr. </w:t>
      </w:r>
      <w:proofErr w:type="spellStart"/>
      <w:r w:rsidR="00B67D2F">
        <w:t>Leschied</w:t>
      </w:r>
      <w:proofErr w:type="spellEnd"/>
      <w:r w:rsidR="00B67D2F">
        <w:t xml:space="preserve"> point out on page 19 of th</w:t>
      </w:r>
      <w:r w:rsidR="006871E4">
        <w:t>eir paper that few clinicians “have both the wide-ranging professional expertise and the willingness to become involved in the court process to properly undertake a forensic child welfare assessment.”</w:t>
      </w:r>
    </w:p>
  </w:footnote>
  <w:footnote w:id="5">
    <w:p w14:paraId="02EF0797" w14:textId="0FA82FAB" w:rsidR="0096501A" w:rsidRDefault="0096501A" w:rsidP="00D3505D">
      <w:pPr>
        <w:pStyle w:val="Footer"/>
      </w:pPr>
      <w:r>
        <w:rPr>
          <w:rStyle w:val="FootnoteReference"/>
        </w:rPr>
        <w:footnoteRef/>
      </w:r>
      <w:r>
        <w:t xml:space="preserve"> </w:t>
      </w:r>
      <w:r w:rsidR="00C10A11" w:rsidRPr="00A61C50">
        <w:rPr>
          <w:sz w:val="20"/>
          <w:szCs w:val="20"/>
        </w:rPr>
        <w:t>Ibid at page 64.</w:t>
      </w:r>
    </w:p>
  </w:footnote>
  <w:footnote w:id="6">
    <w:p w14:paraId="270E8667" w14:textId="65C6250C" w:rsidR="00291388" w:rsidRDefault="00291388">
      <w:pPr>
        <w:pStyle w:val="FootnoteText"/>
      </w:pPr>
      <w:r>
        <w:rPr>
          <w:rStyle w:val="FootnoteReference"/>
        </w:rPr>
        <w:footnoteRef/>
      </w:r>
      <w:r>
        <w:t xml:space="preserve"> </w:t>
      </w:r>
      <w:r w:rsidR="00D20D9F" w:rsidRPr="00D97617">
        <w:t>“</w:t>
      </w:r>
      <w:r w:rsidR="00D20D9F" w:rsidRPr="00D97617">
        <w:rPr>
          <w:i/>
          <w:iCs/>
        </w:rPr>
        <w:t>Inquiry into Paediatric Forensic Pathology in Ontario</w:t>
      </w:r>
      <w:r w:rsidR="00D20D9F" w:rsidRPr="00D97617">
        <w:t xml:space="preserve">” Toronto:  Queen’s Printer for Ontario, 2008 (the </w:t>
      </w:r>
      <w:r w:rsidR="00AA4051">
        <w:t>“</w:t>
      </w:r>
      <w:proofErr w:type="spellStart"/>
      <w:r w:rsidR="00D20D9F" w:rsidRPr="00D97617">
        <w:rPr>
          <w:i/>
          <w:iCs/>
        </w:rPr>
        <w:t>Goudge</w:t>
      </w:r>
      <w:proofErr w:type="spellEnd"/>
      <w:r w:rsidR="00D20D9F" w:rsidRPr="00D97617">
        <w:t xml:space="preserve"> </w:t>
      </w:r>
      <w:r w:rsidR="00AA4051">
        <w:t>R</w:t>
      </w:r>
      <w:r w:rsidR="00D20D9F" w:rsidRPr="00D97617">
        <w:t>eport</w:t>
      </w:r>
      <w:r w:rsidR="00AA4051">
        <w:t>”</w:t>
      </w:r>
      <w:r w:rsidR="00D20D9F" w:rsidRPr="00D97617">
        <w:t xml:space="preserve">) and The </w:t>
      </w:r>
      <w:r w:rsidR="00D20D9F" w:rsidRPr="00D97617">
        <w:rPr>
          <w:i/>
          <w:iCs/>
        </w:rPr>
        <w:t xml:space="preserve">Report of the </w:t>
      </w:r>
      <w:proofErr w:type="spellStart"/>
      <w:r w:rsidR="00D20D9F" w:rsidRPr="00D97617">
        <w:rPr>
          <w:i/>
          <w:iCs/>
        </w:rPr>
        <w:t>Motherisk</w:t>
      </w:r>
      <w:proofErr w:type="spellEnd"/>
      <w:r w:rsidR="00D20D9F" w:rsidRPr="00D97617">
        <w:rPr>
          <w:i/>
          <w:iCs/>
        </w:rPr>
        <w:t xml:space="preserve"> Commission</w:t>
      </w:r>
      <w:r w:rsidR="00D20D9F" w:rsidRPr="00D97617">
        <w:t xml:space="preserve">, February 2018, </w:t>
      </w:r>
      <w:r w:rsidR="00AC6FA4">
        <w:t xml:space="preserve">Ministry of the Attorney General </w:t>
      </w:r>
      <w:proofErr w:type="gramStart"/>
      <w:r w:rsidR="00D20D9F" w:rsidRPr="00D97617">
        <w:t>The</w:t>
      </w:r>
      <w:proofErr w:type="gramEnd"/>
      <w:r w:rsidR="00D20D9F" w:rsidRPr="00D97617">
        <w:t xml:space="preserve"> Honourable Judith C. Beaman</w:t>
      </w:r>
      <w:r w:rsidR="006107FB">
        <w:t>,</w:t>
      </w:r>
      <w:r w:rsidR="00D20D9F" w:rsidRPr="00D97617">
        <w:t xml:space="preserve"> Commissioner (the </w:t>
      </w:r>
      <w:r w:rsidR="00D97617">
        <w:t>“</w:t>
      </w:r>
      <w:proofErr w:type="spellStart"/>
      <w:r w:rsidR="00D20D9F" w:rsidRPr="00D97617">
        <w:rPr>
          <w:i/>
          <w:iCs/>
        </w:rPr>
        <w:t>Motherisk</w:t>
      </w:r>
      <w:proofErr w:type="spellEnd"/>
      <w:r w:rsidR="00D20D9F" w:rsidRPr="00D97617">
        <w:t xml:space="preserve"> </w:t>
      </w:r>
      <w:r w:rsidR="00AA4051">
        <w:t>R</w:t>
      </w:r>
      <w:r w:rsidR="00D20D9F" w:rsidRPr="00D97617">
        <w:t>eport</w:t>
      </w:r>
      <w:r w:rsidR="00AA4051">
        <w:t>”</w:t>
      </w:r>
      <w:r w:rsidR="00D20D9F">
        <w:rPr>
          <w:sz w:val="24"/>
          <w:szCs w:val="24"/>
        </w:rPr>
        <w:t>)</w:t>
      </w:r>
      <w:r w:rsidR="00A94F8F">
        <w:t>.</w:t>
      </w:r>
    </w:p>
  </w:footnote>
  <w:footnote w:id="7">
    <w:p w14:paraId="6EBC7E07" w14:textId="7C09CEFC" w:rsidR="00FD731F" w:rsidRDefault="00FD731F">
      <w:pPr>
        <w:pStyle w:val="FootnoteText"/>
      </w:pPr>
      <w:r>
        <w:rPr>
          <w:rStyle w:val="FootnoteReference"/>
        </w:rPr>
        <w:footnoteRef/>
      </w:r>
      <w:r>
        <w:t xml:space="preserve"> </w:t>
      </w:r>
      <w:r w:rsidR="000A3E6C">
        <w:t>Angela White (2005</w:t>
      </w:r>
      <w:proofErr w:type="gramStart"/>
      <w:r w:rsidR="000A3E6C">
        <w:t xml:space="preserve">)  </w:t>
      </w:r>
      <w:r w:rsidR="008B0DE6" w:rsidRPr="000A3E6C">
        <w:rPr>
          <w:i/>
          <w:iCs/>
        </w:rPr>
        <w:t>Assessment</w:t>
      </w:r>
      <w:proofErr w:type="gramEnd"/>
      <w:r w:rsidR="008B0DE6" w:rsidRPr="000A3E6C">
        <w:rPr>
          <w:i/>
          <w:iCs/>
        </w:rPr>
        <w:t xml:space="preserve"> of Parenting Capacity</w:t>
      </w:r>
      <w:r w:rsidR="00F20543" w:rsidRPr="000A3E6C">
        <w:rPr>
          <w:i/>
          <w:iCs/>
        </w:rPr>
        <w:t>.  Literature Review</w:t>
      </w:r>
      <w:r w:rsidR="00F20543">
        <w:t xml:space="preserve">. </w:t>
      </w:r>
      <w:r w:rsidR="008473A1">
        <w:t xml:space="preserve">NSW Department of </w:t>
      </w:r>
      <w:r w:rsidR="001273E4">
        <w:t xml:space="preserve">Community Services, Centre for Parenting </w:t>
      </w:r>
      <w:r w:rsidR="00FA3BA6">
        <w:t xml:space="preserve">&amp; Research </w:t>
      </w:r>
    </w:p>
  </w:footnote>
  <w:footnote w:id="8">
    <w:p w14:paraId="6C66B9CB" w14:textId="77777777" w:rsidR="000C6D50" w:rsidRDefault="000C6D50" w:rsidP="000C6D50">
      <w:pPr>
        <w:pStyle w:val="FootnoteText"/>
      </w:pPr>
      <w:r>
        <w:rPr>
          <w:rStyle w:val="FootnoteReference"/>
        </w:rPr>
        <w:footnoteRef/>
      </w:r>
      <w:r>
        <w:t xml:space="preserve"> Angela White (2006</w:t>
      </w:r>
      <w:proofErr w:type="gramStart"/>
      <w:r>
        <w:t xml:space="preserve">)  </w:t>
      </w:r>
      <w:r w:rsidRPr="003E16D1">
        <w:rPr>
          <w:i/>
          <w:iCs/>
        </w:rPr>
        <w:t>Research</w:t>
      </w:r>
      <w:proofErr w:type="gramEnd"/>
      <w:r w:rsidRPr="003E16D1">
        <w:rPr>
          <w:i/>
          <w:iCs/>
        </w:rPr>
        <w:t xml:space="preserve"> to Practice Notes.  Effective Parenting Capacity Assessment:  Key Issues</w:t>
      </w:r>
      <w:r>
        <w:t xml:space="preserve"> NSW Department of Community Services Centre for Parenting &amp; Research.</w:t>
      </w:r>
    </w:p>
  </w:footnote>
  <w:footnote w:id="9">
    <w:p w14:paraId="7B199D42" w14:textId="2545B651" w:rsidR="00206454" w:rsidRDefault="00206454">
      <w:pPr>
        <w:pStyle w:val="FootnoteText"/>
      </w:pPr>
      <w:r>
        <w:rPr>
          <w:rStyle w:val="FootnoteReference"/>
        </w:rPr>
        <w:footnoteRef/>
      </w:r>
      <w:r>
        <w:t xml:space="preserve"> </w:t>
      </w:r>
      <w:r w:rsidR="00C53290">
        <w:t>Budd, K.S. (</w:t>
      </w:r>
      <w:r w:rsidR="00FD4168">
        <w:t xml:space="preserve">2005) </w:t>
      </w:r>
      <w:r w:rsidR="00FD4168" w:rsidRPr="00CC0B10">
        <w:rPr>
          <w:i/>
          <w:iCs/>
        </w:rPr>
        <w:t>Assessing Parenting Capacity in a Child Welfare Context</w:t>
      </w:r>
      <w:r w:rsidR="00FD4168">
        <w:t xml:space="preserve"> </w:t>
      </w:r>
      <w:r w:rsidR="00CC0B10">
        <w:t xml:space="preserve">Children and Youth Services Review 27, 429-444 at page </w:t>
      </w:r>
      <w:r w:rsidR="00CF4E0C">
        <w:t>433</w:t>
      </w:r>
      <w:r w:rsidR="00CC0B10">
        <w:t>.</w:t>
      </w:r>
    </w:p>
  </w:footnote>
  <w:footnote w:id="10">
    <w:p w14:paraId="3104F184" w14:textId="7B5267CB" w:rsidR="00242B32" w:rsidRDefault="00242B32">
      <w:pPr>
        <w:pStyle w:val="FootnoteText"/>
      </w:pPr>
      <w:r>
        <w:rPr>
          <w:rStyle w:val="FootnoteReference"/>
        </w:rPr>
        <w:footnoteRef/>
      </w:r>
      <w:r>
        <w:t xml:space="preserve"> Ibid,</w:t>
      </w:r>
      <w:r w:rsidR="005F71AE">
        <w:t xml:space="preserve"> at</w:t>
      </w:r>
      <w:r>
        <w:t xml:space="preserve"> page 433.</w:t>
      </w:r>
    </w:p>
  </w:footnote>
  <w:footnote w:id="11">
    <w:p w14:paraId="5BC128D3" w14:textId="0CE379AF" w:rsidR="00180F8A" w:rsidRDefault="00180F8A">
      <w:pPr>
        <w:pStyle w:val="FootnoteText"/>
      </w:pPr>
      <w:r>
        <w:rPr>
          <w:rStyle w:val="FootnoteReference"/>
        </w:rPr>
        <w:footnoteRef/>
      </w:r>
      <w:r>
        <w:t xml:space="preserve"> Ibid, </w:t>
      </w:r>
      <w:r w:rsidR="00EC41B4">
        <w:t xml:space="preserve">at </w:t>
      </w:r>
      <w:r>
        <w:t>page 433.</w:t>
      </w:r>
    </w:p>
  </w:footnote>
  <w:footnote w:id="12">
    <w:p w14:paraId="743B7DEC" w14:textId="2B9E4614" w:rsidR="007734DC" w:rsidRDefault="007734DC">
      <w:pPr>
        <w:pStyle w:val="FootnoteText"/>
      </w:pPr>
      <w:r>
        <w:rPr>
          <w:rStyle w:val="FootnoteReference"/>
        </w:rPr>
        <w:footnoteRef/>
      </w:r>
      <w:r>
        <w:t xml:space="preserve"> </w:t>
      </w:r>
      <w:r w:rsidR="00B1070E">
        <w:t xml:space="preserve">Ibid, </w:t>
      </w:r>
      <w:r w:rsidR="00EC41B4">
        <w:t xml:space="preserve">at </w:t>
      </w:r>
      <w:r w:rsidR="00B1070E">
        <w:t>page 433.</w:t>
      </w:r>
    </w:p>
  </w:footnote>
  <w:footnote w:id="13">
    <w:p w14:paraId="6DA16E11" w14:textId="01C00AB2" w:rsidR="00087041" w:rsidRDefault="00087041">
      <w:pPr>
        <w:pStyle w:val="FootnoteText"/>
      </w:pPr>
      <w:r>
        <w:rPr>
          <w:rStyle w:val="FootnoteReference"/>
        </w:rPr>
        <w:footnoteRef/>
      </w:r>
      <w:r>
        <w:t xml:space="preserve"> See </w:t>
      </w:r>
      <w:r w:rsidRPr="00087041">
        <w:rPr>
          <w:i/>
          <w:iCs/>
        </w:rPr>
        <w:t>CAS of Toronto v. R.S</w:t>
      </w:r>
      <w:r>
        <w:t>., 2019 ONCJ 866 where</w:t>
      </w:r>
      <w:r w:rsidR="00A60630">
        <w:t xml:space="preserve"> no P</w:t>
      </w:r>
      <w:r w:rsidR="00DC3E7A">
        <w:t xml:space="preserve">arenting </w:t>
      </w:r>
      <w:r w:rsidR="00A60630">
        <w:t>C</w:t>
      </w:r>
      <w:r w:rsidR="00DC3E7A">
        <w:t xml:space="preserve">apacity </w:t>
      </w:r>
      <w:r w:rsidR="00A60630">
        <w:t>A</w:t>
      </w:r>
      <w:r w:rsidR="00DC3E7A">
        <w:t>ssessment</w:t>
      </w:r>
      <w:r w:rsidR="00A60630">
        <w:t xml:space="preserve"> was conducted but </w:t>
      </w:r>
      <w:r>
        <w:t xml:space="preserve">the </w:t>
      </w:r>
      <w:r w:rsidR="00A60630">
        <w:t xml:space="preserve">trial </w:t>
      </w:r>
      <w:r>
        <w:t xml:space="preserve">court </w:t>
      </w:r>
      <w:r w:rsidR="00A60630">
        <w:t>reviewed</w:t>
      </w:r>
      <w:r>
        <w:t xml:space="preserve"> </w:t>
      </w:r>
      <w:r w:rsidR="00A60630">
        <w:t xml:space="preserve">a focused psychological assessment of a parent and extensive evidence from </w:t>
      </w:r>
      <w:proofErr w:type="gramStart"/>
      <w:r w:rsidR="00A60630">
        <w:t>a number of</w:t>
      </w:r>
      <w:proofErr w:type="gramEnd"/>
      <w:r w:rsidR="00A60630">
        <w:t xml:space="preserve"> sources to ground the findings of fact needed with respect to the impact of the mental health </w:t>
      </w:r>
      <w:r w:rsidR="00DC3E7A">
        <w:t>issue</w:t>
      </w:r>
      <w:r w:rsidR="00A60630">
        <w:t xml:space="preserve"> on the parent’s capacity to safely parent.</w:t>
      </w:r>
      <w:r w:rsidR="00DC3E7A">
        <w:t xml:space="preserve">  Para 114 of this decision contains a comprehensive list of factors relevant to assessing cases where the mental health of a parent is a focus of concern.</w:t>
      </w:r>
    </w:p>
  </w:footnote>
  <w:footnote w:id="14">
    <w:p w14:paraId="5A9BE319" w14:textId="01EA7B89" w:rsidR="00D05166" w:rsidRDefault="00D05166">
      <w:pPr>
        <w:pStyle w:val="FootnoteText"/>
      </w:pPr>
      <w:r>
        <w:rPr>
          <w:rStyle w:val="FootnoteReference"/>
        </w:rPr>
        <w:footnoteRef/>
      </w:r>
      <w:r>
        <w:t xml:space="preserve"> </w:t>
      </w:r>
      <w:r w:rsidR="00F9030A">
        <w:t>These questions are reproduced from</w:t>
      </w:r>
      <w:r w:rsidR="007770C4">
        <w:t xml:space="preserve"> </w:t>
      </w:r>
      <w:r w:rsidR="007233C3">
        <w:t xml:space="preserve">section </w:t>
      </w:r>
      <w:r w:rsidR="007770C4">
        <w:t>35(2) of</w:t>
      </w:r>
      <w:r w:rsidR="00F9030A">
        <w:t xml:space="preserve"> </w:t>
      </w:r>
      <w:r w:rsidR="00CE0BCE">
        <w:t xml:space="preserve">Ontario </w:t>
      </w:r>
      <w:r w:rsidR="00FF1F5F">
        <w:t xml:space="preserve">Regulation 155/18 </w:t>
      </w:r>
      <w:r w:rsidR="007770C4">
        <w:t xml:space="preserve">which </w:t>
      </w:r>
      <w:r w:rsidR="008F1BE8">
        <w:t xml:space="preserve">provides </w:t>
      </w:r>
      <w:r w:rsidR="000915E2">
        <w:t xml:space="preserve">guidelines for the contents of an assessment order </w:t>
      </w:r>
      <w:r w:rsidR="00E5766C">
        <w:t xml:space="preserve">made under section 98 of the </w:t>
      </w:r>
      <w:r w:rsidR="00E5766C" w:rsidRPr="00E5766C">
        <w:rPr>
          <w:i/>
          <w:iCs/>
        </w:rPr>
        <w:t>Child, Youth and Family Services Act</w:t>
      </w:r>
      <w:r w:rsidR="00E5766C">
        <w:t>, 2017.</w:t>
      </w:r>
    </w:p>
  </w:footnote>
  <w:footnote w:id="15">
    <w:p w14:paraId="1E0089B1" w14:textId="68130F17" w:rsidR="006B2331" w:rsidRDefault="006B2331">
      <w:pPr>
        <w:pStyle w:val="FootnoteText"/>
      </w:pPr>
      <w:r>
        <w:rPr>
          <w:rStyle w:val="FootnoteReference"/>
        </w:rPr>
        <w:footnoteRef/>
      </w:r>
      <w:r>
        <w:t xml:space="preserve"> </w:t>
      </w:r>
      <w:r w:rsidR="008D7CFF">
        <w:t xml:space="preserve">Ibid, </w:t>
      </w:r>
      <w:r w:rsidR="00EC41B4">
        <w:t xml:space="preserve">at </w:t>
      </w:r>
      <w:r w:rsidR="008D7CFF">
        <w:t>page 436.</w:t>
      </w:r>
    </w:p>
  </w:footnote>
  <w:footnote w:id="16">
    <w:p w14:paraId="20A1FE6D" w14:textId="436BB221" w:rsidR="006E7EF2" w:rsidRDefault="006E7EF2">
      <w:pPr>
        <w:pStyle w:val="FootnoteText"/>
      </w:pPr>
      <w:r>
        <w:rPr>
          <w:rStyle w:val="FootnoteReference"/>
        </w:rPr>
        <w:footnoteRef/>
      </w:r>
      <w:r>
        <w:t xml:space="preserve"> Ibid</w:t>
      </w:r>
      <w:r w:rsidR="003C6FD5">
        <w:t xml:space="preserve">, </w:t>
      </w:r>
      <w:r w:rsidR="00EC41B4">
        <w:t xml:space="preserve">at </w:t>
      </w:r>
      <w:r w:rsidR="00442E7C">
        <w:t>page 436.</w:t>
      </w:r>
    </w:p>
  </w:footnote>
  <w:footnote w:id="17">
    <w:p w14:paraId="45040E6C" w14:textId="6435AE8E" w:rsidR="001F73EA" w:rsidRDefault="001F73EA">
      <w:pPr>
        <w:pStyle w:val="FootnoteText"/>
      </w:pPr>
      <w:r>
        <w:rPr>
          <w:rStyle w:val="FootnoteReference"/>
        </w:rPr>
        <w:footnoteRef/>
      </w:r>
      <w:r>
        <w:t xml:space="preserve"> Budd, K.S., Connell, M. and Clark, Jennifer (2011) </w:t>
      </w:r>
      <w:r w:rsidRPr="00654EE2">
        <w:rPr>
          <w:i/>
          <w:iCs/>
        </w:rPr>
        <w:t>Evaluation of Parenting Capacity in Child Protection:  Best Practices in Forensic Mental Health Assessment</w:t>
      </w:r>
      <w:r>
        <w:t xml:space="preserve">. Oxford University Press Inc. at page </w:t>
      </w:r>
      <w:r w:rsidR="00667816">
        <w:t>28.</w:t>
      </w:r>
      <w:r w:rsidR="006660C6">
        <w:t xml:space="preserve"> This book was w</w:t>
      </w:r>
      <w:r w:rsidR="00432205">
        <w:t xml:space="preserve">ritten as part of a </w:t>
      </w:r>
      <w:r w:rsidR="00D05362">
        <w:t xml:space="preserve">19 Book </w:t>
      </w:r>
      <w:r w:rsidR="00432205">
        <w:t xml:space="preserve">series on Forensic Mental </w:t>
      </w:r>
      <w:r w:rsidR="00D05362">
        <w:t>Health assessment in a variety of legal contexts.</w:t>
      </w:r>
      <w:r w:rsidR="0067036C">
        <w:t xml:space="preserve"> </w:t>
      </w:r>
    </w:p>
  </w:footnote>
  <w:footnote w:id="18">
    <w:p w14:paraId="7650C578" w14:textId="1C166E44" w:rsidR="00905B53" w:rsidRDefault="00905B53">
      <w:pPr>
        <w:pStyle w:val="FootnoteText"/>
      </w:pPr>
      <w:r>
        <w:rPr>
          <w:rStyle w:val="FootnoteReference"/>
        </w:rPr>
        <w:footnoteRef/>
      </w:r>
      <w:r>
        <w:t xml:space="preserve"> </w:t>
      </w:r>
      <w:proofErr w:type="spellStart"/>
      <w:r w:rsidR="005C25C6">
        <w:t>Bala</w:t>
      </w:r>
      <w:proofErr w:type="spellEnd"/>
      <w:r w:rsidR="005C25C6">
        <w:t xml:space="preserve"> and </w:t>
      </w:r>
      <w:proofErr w:type="spellStart"/>
      <w:r w:rsidR="005C25C6">
        <w:t>Leschied</w:t>
      </w:r>
      <w:proofErr w:type="spellEnd"/>
      <w:r w:rsidR="005C25C6">
        <w:t xml:space="preserve"> (2008) at </w:t>
      </w:r>
      <w:r w:rsidR="00382037">
        <w:t>page</w:t>
      </w:r>
      <w:r w:rsidR="00E136CA">
        <w:t>s</w:t>
      </w:r>
      <w:r w:rsidR="00382037">
        <w:t xml:space="preserve"> 19</w:t>
      </w:r>
      <w:r w:rsidR="00E136CA">
        <w:t xml:space="preserve"> and 31</w:t>
      </w:r>
      <w:r w:rsidR="00382037">
        <w:t>.</w:t>
      </w:r>
    </w:p>
  </w:footnote>
  <w:footnote w:id="19">
    <w:p w14:paraId="25021976" w14:textId="0661D045" w:rsidR="00A875B2" w:rsidRDefault="00A875B2">
      <w:pPr>
        <w:pStyle w:val="FootnoteText"/>
      </w:pPr>
      <w:r>
        <w:rPr>
          <w:rStyle w:val="FootnoteReference"/>
        </w:rPr>
        <w:footnoteRef/>
      </w:r>
      <w:r>
        <w:t xml:space="preserve"> Ibid at page 29.</w:t>
      </w:r>
    </w:p>
  </w:footnote>
  <w:footnote w:id="20">
    <w:p w14:paraId="7AF107B7" w14:textId="13EAEBAA" w:rsidR="00441AF5" w:rsidRDefault="00441AF5">
      <w:pPr>
        <w:pStyle w:val="FootnoteText"/>
      </w:pPr>
      <w:r>
        <w:rPr>
          <w:rStyle w:val="FootnoteReference"/>
        </w:rPr>
        <w:footnoteRef/>
      </w:r>
      <w:r>
        <w:t xml:space="preserve"> </w:t>
      </w:r>
      <w:proofErr w:type="spellStart"/>
      <w:r w:rsidR="008C4AA6">
        <w:t>Pezzot</w:t>
      </w:r>
      <w:proofErr w:type="spellEnd"/>
      <w:r w:rsidR="008C4AA6">
        <w:t>-Pearc</w:t>
      </w:r>
      <w:r w:rsidR="00C6719A">
        <w:t xml:space="preserve">e, T.D., &amp; Pearce, J. (2004).  </w:t>
      </w:r>
      <w:r w:rsidR="00C6719A" w:rsidRPr="00654EE2">
        <w:rPr>
          <w:i/>
          <w:iCs/>
        </w:rPr>
        <w:t xml:space="preserve">Parenting </w:t>
      </w:r>
      <w:r w:rsidR="009829A2" w:rsidRPr="00654EE2">
        <w:rPr>
          <w:i/>
          <w:iCs/>
        </w:rPr>
        <w:t>Assessments in Child Welfare Cases:  A Practical Guide</w:t>
      </w:r>
      <w:r w:rsidR="009829A2">
        <w:t>. Toronto</w:t>
      </w:r>
      <w:r w:rsidR="00272763">
        <w:t>:  University of Toronto Press at page 4.</w:t>
      </w:r>
    </w:p>
  </w:footnote>
  <w:footnote w:id="21">
    <w:p w14:paraId="21D0483C" w14:textId="29704014" w:rsidR="00AF2552" w:rsidRDefault="00AF2552">
      <w:pPr>
        <w:pStyle w:val="FootnoteText"/>
      </w:pPr>
      <w:r>
        <w:rPr>
          <w:rStyle w:val="FootnoteReference"/>
        </w:rPr>
        <w:footnoteRef/>
      </w:r>
      <w:r>
        <w:t xml:space="preserve"> See</w:t>
      </w:r>
      <w:r w:rsidR="00DB225D">
        <w:t xml:space="preserve"> </w:t>
      </w:r>
      <w:proofErr w:type="spellStart"/>
      <w:r w:rsidR="00DB225D">
        <w:t>Bala</w:t>
      </w:r>
      <w:proofErr w:type="spellEnd"/>
      <w:r w:rsidR="00DB225D">
        <w:t xml:space="preserve"> and </w:t>
      </w:r>
      <w:proofErr w:type="spellStart"/>
      <w:r w:rsidR="00DB225D">
        <w:t>Leschied</w:t>
      </w:r>
      <w:proofErr w:type="spellEnd"/>
      <w:r w:rsidR="00DB225D">
        <w:t xml:space="preserve">, supra note 1 at page </w:t>
      </w:r>
      <w:r w:rsidR="008741BE">
        <w:t>46.</w:t>
      </w:r>
      <w:r w:rsidR="00C64EB1">
        <w:t xml:space="preserve">  Some of Dr. </w:t>
      </w:r>
      <w:proofErr w:type="spellStart"/>
      <w:r w:rsidR="00C64EB1">
        <w:t>Steinhauer’s</w:t>
      </w:r>
      <w:proofErr w:type="spellEnd"/>
      <w:r w:rsidR="00C64EB1">
        <w:t xml:space="preserve"> </w:t>
      </w:r>
      <w:r w:rsidR="00971199">
        <w:t xml:space="preserve">work is found in </w:t>
      </w:r>
      <w:proofErr w:type="spellStart"/>
      <w:r w:rsidR="00971199">
        <w:t>Steinhauer</w:t>
      </w:r>
      <w:proofErr w:type="spellEnd"/>
      <w:r w:rsidR="00971199">
        <w:t xml:space="preserve">, Paul D. (1993) </w:t>
      </w:r>
      <w:r w:rsidR="00971199" w:rsidRPr="00971199">
        <w:rPr>
          <w:i/>
          <w:iCs/>
        </w:rPr>
        <w:t xml:space="preserve">The Least Detrimental Alternative:  A Systematic Guide to Case Planning and Decision Making for Children </w:t>
      </w:r>
      <w:proofErr w:type="gramStart"/>
      <w:r w:rsidR="00971199" w:rsidRPr="00971199">
        <w:rPr>
          <w:i/>
          <w:iCs/>
        </w:rPr>
        <w:t>In</w:t>
      </w:r>
      <w:proofErr w:type="gramEnd"/>
      <w:r w:rsidR="00971199" w:rsidRPr="00971199">
        <w:rPr>
          <w:i/>
          <w:iCs/>
        </w:rPr>
        <w:t xml:space="preserve"> Care</w:t>
      </w:r>
      <w:r w:rsidR="00971199">
        <w:t>.  University of Toronto Press.</w:t>
      </w:r>
    </w:p>
  </w:footnote>
  <w:footnote w:id="22">
    <w:p w14:paraId="480CA819" w14:textId="211FEAA6" w:rsidR="00F31FF3" w:rsidRDefault="00F31FF3">
      <w:pPr>
        <w:pStyle w:val="FootnoteText"/>
      </w:pPr>
      <w:r>
        <w:rPr>
          <w:rStyle w:val="FootnoteReference"/>
        </w:rPr>
        <w:footnoteRef/>
      </w:r>
      <w:r>
        <w:t xml:space="preserve"> </w:t>
      </w:r>
      <w:proofErr w:type="spellStart"/>
      <w:r w:rsidR="00DD2530">
        <w:t>Pezzot</w:t>
      </w:r>
      <w:proofErr w:type="spellEnd"/>
      <w:r w:rsidR="00DD2530">
        <w:t>-Pearce &amp; Pearce</w:t>
      </w:r>
      <w:r w:rsidR="00DB26AE">
        <w:t>, supra at note 19</w:t>
      </w:r>
      <w:r w:rsidR="00DD2530">
        <w:t>.</w:t>
      </w:r>
    </w:p>
  </w:footnote>
  <w:footnote w:id="23">
    <w:p w14:paraId="05BCC729" w14:textId="17A6107D" w:rsidR="00BB63BD" w:rsidRDefault="00BB63BD">
      <w:pPr>
        <w:pStyle w:val="FootnoteText"/>
      </w:pPr>
      <w:r>
        <w:rPr>
          <w:rStyle w:val="FootnoteReference"/>
        </w:rPr>
        <w:footnoteRef/>
      </w:r>
      <w:r>
        <w:t xml:space="preserve"> </w:t>
      </w:r>
      <w:r w:rsidR="00126102">
        <w:t>Budd</w:t>
      </w:r>
      <w:r w:rsidR="0074052F">
        <w:t xml:space="preserve"> et al</w:t>
      </w:r>
      <w:r w:rsidR="00E27713">
        <w:t xml:space="preserve">. supra, note 16.  </w:t>
      </w:r>
    </w:p>
  </w:footnote>
  <w:footnote w:id="24">
    <w:p w14:paraId="3607ADC2" w14:textId="07AB380E" w:rsidR="00804D10" w:rsidRDefault="00804D10">
      <w:pPr>
        <w:pStyle w:val="FootnoteText"/>
      </w:pPr>
      <w:r>
        <w:rPr>
          <w:rStyle w:val="FootnoteReference"/>
        </w:rPr>
        <w:footnoteRef/>
      </w:r>
      <w:r>
        <w:t xml:space="preserve"> </w:t>
      </w:r>
      <w:r w:rsidR="00302D11" w:rsidRPr="009E0B4C">
        <w:rPr>
          <w:i/>
          <w:iCs/>
        </w:rPr>
        <w:t>Daubert v. Merrell Dow Pharmaceuticals, Inc</w:t>
      </w:r>
      <w:r w:rsidR="00302D11">
        <w:t xml:space="preserve">. </w:t>
      </w:r>
      <w:r w:rsidR="009E0B4C">
        <w:t>509 U.S. 579 (1993) is t</w:t>
      </w:r>
      <w:r w:rsidR="000F6CD0">
        <w:t xml:space="preserve">he leading case in the United States on </w:t>
      </w:r>
      <w:r w:rsidR="008E2263">
        <w:t xml:space="preserve">the admission of expert </w:t>
      </w:r>
      <w:r w:rsidR="009E0B4C">
        <w:t xml:space="preserve">opinion evidence. </w:t>
      </w:r>
    </w:p>
  </w:footnote>
  <w:footnote w:id="25">
    <w:p w14:paraId="36647807" w14:textId="7ECF5F24" w:rsidR="00E13C18" w:rsidRDefault="00E13C18">
      <w:pPr>
        <w:pStyle w:val="FootnoteText"/>
      </w:pPr>
      <w:r>
        <w:rPr>
          <w:rStyle w:val="FootnoteReference"/>
        </w:rPr>
        <w:footnoteRef/>
      </w:r>
      <w:r>
        <w:t xml:space="preserve"> </w:t>
      </w:r>
      <w:r w:rsidR="00651138">
        <w:t>Budd et al. at page</w:t>
      </w:r>
      <w:r w:rsidR="009456C3">
        <w:t xml:space="preserve"> 116</w:t>
      </w:r>
      <w:r w:rsidR="00991229">
        <w:t xml:space="preserve"> Table 5.1.</w:t>
      </w:r>
    </w:p>
  </w:footnote>
  <w:footnote w:id="26">
    <w:p w14:paraId="6CB91BAC" w14:textId="2467BD22" w:rsidR="00F904D4" w:rsidRDefault="00F904D4">
      <w:pPr>
        <w:pStyle w:val="FootnoteText"/>
      </w:pPr>
      <w:r>
        <w:rPr>
          <w:rStyle w:val="FootnoteReference"/>
        </w:rPr>
        <w:footnoteRef/>
      </w:r>
      <w:r>
        <w:t xml:space="preserve"> Budd et al. at pages 1</w:t>
      </w:r>
      <w:r w:rsidR="00A66989">
        <w:t>20-122</w:t>
      </w:r>
      <w:r>
        <w:t>.</w:t>
      </w:r>
    </w:p>
  </w:footnote>
  <w:footnote w:id="27">
    <w:p w14:paraId="3C236A1D" w14:textId="594336F6" w:rsidR="00051EA4" w:rsidRDefault="00051EA4">
      <w:pPr>
        <w:pStyle w:val="FootnoteText"/>
      </w:pPr>
      <w:r>
        <w:rPr>
          <w:rStyle w:val="FootnoteReference"/>
        </w:rPr>
        <w:footnoteRef/>
      </w:r>
      <w:r>
        <w:t xml:space="preserve"> </w:t>
      </w:r>
      <w:r w:rsidR="001A0554">
        <w:t>Budd et al. at page 129-130.</w:t>
      </w:r>
    </w:p>
  </w:footnote>
  <w:footnote w:id="28">
    <w:p w14:paraId="2552E06D" w14:textId="29C59270" w:rsidR="001942E2" w:rsidRDefault="001942E2">
      <w:pPr>
        <w:pStyle w:val="FootnoteText"/>
      </w:pPr>
      <w:r>
        <w:rPr>
          <w:rStyle w:val="FootnoteReference"/>
        </w:rPr>
        <w:footnoteRef/>
      </w:r>
      <w:r>
        <w:t xml:space="preserve"> </w:t>
      </w:r>
      <w:r w:rsidR="00A521F1">
        <w:t>Budd et al.</w:t>
      </w:r>
      <w:r w:rsidR="001A0554">
        <w:t xml:space="preserve"> </w:t>
      </w:r>
      <w:r w:rsidR="00A521F1">
        <w:t>at page</w:t>
      </w:r>
      <w:r w:rsidR="00006F6A">
        <w:t>s 134-135.</w:t>
      </w:r>
    </w:p>
  </w:footnote>
  <w:footnote w:id="29">
    <w:p w14:paraId="549A6F3E" w14:textId="3F005F80" w:rsidR="00B530F3" w:rsidRDefault="00B530F3">
      <w:pPr>
        <w:pStyle w:val="FootnoteText"/>
      </w:pPr>
      <w:r>
        <w:rPr>
          <w:rStyle w:val="FootnoteReference"/>
        </w:rPr>
        <w:footnoteRef/>
      </w:r>
      <w:r>
        <w:t xml:space="preserve"> </w:t>
      </w:r>
      <w:r w:rsidR="00381BCD">
        <w:t>Ibid at page 136.</w:t>
      </w:r>
    </w:p>
  </w:footnote>
  <w:footnote w:id="30">
    <w:p w14:paraId="147870D3" w14:textId="6D2625DC" w:rsidR="00E526EF" w:rsidRDefault="00E526EF">
      <w:pPr>
        <w:pStyle w:val="FootnoteText"/>
      </w:pPr>
      <w:r>
        <w:rPr>
          <w:rStyle w:val="FootnoteReference"/>
        </w:rPr>
        <w:footnoteRef/>
      </w:r>
      <w:r>
        <w:t xml:space="preserve"> </w:t>
      </w:r>
      <w:r w:rsidR="008F6EEF">
        <w:t>Ibid at page 136.</w:t>
      </w:r>
    </w:p>
  </w:footnote>
  <w:footnote w:id="31">
    <w:p w14:paraId="324DC458" w14:textId="51347095" w:rsidR="006447C2" w:rsidRDefault="006447C2">
      <w:pPr>
        <w:pStyle w:val="FootnoteText"/>
      </w:pPr>
      <w:r>
        <w:rPr>
          <w:rStyle w:val="FootnoteReference"/>
        </w:rPr>
        <w:footnoteRef/>
      </w:r>
      <w:r>
        <w:t xml:space="preserve"> </w:t>
      </w:r>
      <w:r w:rsidR="00006F6A">
        <w:t xml:space="preserve">Ibid </w:t>
      </w:r>
      <w:r>
        <w:t>at page</w:t>
      </w:r>
      <w:r w:rsidR="004F096C">
        <w:t xml:space="preserve"> 130.</w:t>
      </w:r>
    </w:p>
  </w:footnote>
  <w:footnote w:id="32">
    <w:p w14:paraId="04AED189" w14:textId="3EFEA828" w:rsidR="00D23CBD" w:rsidRDefault="00D23CBD">
      <w:pPr>
        <w:pStyle w:val="FootnoteText"/>
      </w:pPr>
      <w:r>
        <w:rPr>
          <w:rStyle w:val="FootnoteReference"/>
        </w:rPr>
        <w:footnoteRef/>
      </w:r>
      <w:r>
        <w:t xml:space="preserve"> Ibid at page 13</w:t>
      </w:r>
      <w:r w:rsidR="00737E6F">
        <w:t>0-131.</w:t>
      </w:r>
    </w:p>
  </w:footnote>
  <w:footnote w:id="33">
    <w:p w14:paraId="629194F0" w14:textId="53F6225D" w:rsidR="006B6C66" w:rsidRDefault="006B6C66">
      <w:pPr>
        <w:pStyle w:val="FootnoteText"/>
      </w:pPr>
      <w:r>
        <w:rPr>
          <w:rStyle w:val="FootnoteReference"/>
        </w:rPr>
        <w:footnoteRef/>
      </w:r>
      <w:r>
        <w:t xml:space="preserve"> </w:t>
      </w:r>
      <w:r w:rsidR="00D72857">
        <w:t xml:space="preserve">Ibid at pages 132-133 Table </w:t>
      </w:r>
      <w:r w:rsidR="00AC627D">
        <w:t>5-3 Observation Areas for Parent-Child Interaction</w:t>
      </w:r>
    </w:p>
  </w:footnote>
  <w:footnote w:id="34">
    <w:p w14:paraId="7FA5D2AB" w14:textId="7B0195B8" w:rsidR="00381185" w:rsidRDefault="00381185">
      <w:pPr>
        <w:pStyle w:val="FootnoteText"/>
      </w:pPr>
      <w:r>
        <w:rPr>
          <w:rStyle w:val="FootnoteReference"/>
        </w:rPr>
        <w:footnoteRef/>
      </w:r>
      <w:r>
        <w:t xml:space="preserve"> </w:t>
      </w:r>
      <w:r w:rsidR="00AD7484">
        <w:t>Ibid at page 141.</w:t>
      </w:r>
    </w:p>
  </w:footnote>
  <w:footnote w:id="35">
    <w:p w14:paraId="2699FF2F" w14:textId="630A7691" w:rsidR="00670EE0" w:rsidRDefault="00670EE0">
      <w:pPr>
        <w:pStyle w:val="FootnoteText"/>
      </w:pPr>
      <w:r>
        <w:rPr>
          <w:rStyle w:val="FootnoteReference"/>
        </w:rPr>
        <w:footnoteRef/>
      </w:r>
      <w:r>
        <w:t xml:space="preserve"> Budd et. al (2011) provide a thorough review of the research relevant to the psychometric properties </w:t>
      </w:r>
      <w:r w:rsidR="00092ACD">
        <w:t xml:space="preserve">and limitations </w:t>
      </w:r>
      <w:r>
        <w:t xml:space="preserve">of the various testing </w:t>
      </w:r>
      <w:r w:rsidR="00DB68D9">
        <w:t>instruments that are referred to in this paper</w:t>
      </w:r>
      <w:r w:rsidR="00E34659">
        <w:t>.</w:t>
      </w:r>
    </w:p>
  </w:footnote>
  <w:footnote w:id="36">
    <w:p w14:paraId="2689F5CC" w14:textId="2E2F3796" w:rsidR="0010650C" w:rsidRDefault="0010650C">
      <w:pPr>
        <w:pStyle w:val="FootnoteText"/>
      </w:pPr>
      <w:r>
        <w:rPr>
          <w:rStyle w:val="FootnoteReference"/>
        </w:rPr>
        <w:footnoteRef/>
      </w:r>
      <w:r>
        <w:t xml:space="preserve"> Ibid at page </w:t>
      </w:r>
      <w:r w:rsidR="009830AC">
        <w:t>149.</w:t>
      </w:r>
    </w:p>
  </w:footnote>
  <w:footnote w:id="37">
    <w:p w14:paraId="57BBC6A8" w14:textId="64A470B1" w:rsidR="00E155EB" w:rsidRDefault="00E155EB">
      <w:pPr>
        <w:pStyle w:val="FootnoteText"/>
      </w:pPr>
      <w:r>
        <w:rPr>
          <w:rStyle w:val="FootnoteReference"/>
        </w:rPr>
        <w:footnoteRef/>
      </w:r>
      <w:r>
        <w:t xml:space="preserve"> Ibid at page </w:t>
      </w:r>
      <w:r w:rsidR="00EF126D">
        <w:t>168.</w:t>
      </w:r>
    </w:p>
  </w:footnote>
  <w:footnote w:id="38">
    <w:p w14:paraId="194239A1" w14:textId="2CB929F5" w:rsidR="00DD7C32" w:rsidRDefault="00DD7C32">
      <w:pPr>
        <w:pStyle w:val="FootnoteText"/>
      </w:pPr>
      <w:r>
        <w:rPr>
          <w:rStyle w:val="FootnoteReference"/>
        </w:rPr>
        <w:footnoteRef/>
      </w:r>
      <w:r>
        <w:t xml:space="preserve"> </w:t>
      </w:r>
      <w:r w:rsidR="001929F7">
        <w:t>Ont</w:t>
      </w:r>
      <w:r w:rsidR="000D03F6">
        <w:t>ario</w:t>
      </w:r>
      <w:r w:rsidR="001929F7">
        <w:t xml:space="preserve"> Reg</w:t>
      </w:r>
      <w:r w:rsidR="000D03F6">
        <w:t>ulation</w:t>
      </w:r>
      <w:r w:rsidR="001929F7">
        <w:t xml:space="preserve"> 155/18 </w:t>
      </w:r>
    </w:p>
  </w:footnote>
  <w:footnote w:id="39">
    <w:p w14:paraId="1C4F33B9" w14:textId="70F08BC6" w:rsidR="007A3CF9" w:rsidRDefault="007A3CF9">
      <w:pPr>
        <w:pStyle w:val="FootnoteText"/>
      </w:pPr>
      <w:r>
        <w:rPr>
          <w:rStyle w:val="FootnoteReference"/>
        </w:rPr>
        <w:footnoteRef/>
      </w:r>
      <w:r>
        <w:t xml:space="preserve"> </w:t>
      </w:r>
      <w:r w:rsidRPr="00A52871">
        <w:rPr>
          <w:rFonts w:cstheme="minorHAnsi"/>
          <w:i/>
          <w:iCs/>
        </w:rPr>
        <w:t xml:space="preserve">White Burgess </w:t>
      </w:r>
      <w:proofErr w:type="spellStart"/>
      <w:r w:rsidRPr="00A52871">
        <w:rPr>
          <w:rFonts w:cstheme="minorHAnsi"/>
          <w:i/>
          <w:iCs/>
        </w:rPr>
        <w:t>Langille</w:t>
      </w:r>
      <w:proofErr w:type="spellEnd"/>
      <w:r w:rsidRPr="00A52871">
        <w:rPr>
          <w:rFonts w:cstheme="minorHAnsi"/>
          <w:i/>
          <w:iCs/>
        </w:rPr>
        <w:t xml:space="preserve"> Inman v. Abbott and Haliburton Co</w:t>
      </w:r>
      <w:r w:rsidRPr="00A52871">
        <w:rPr>
          <w:rFonts w:cstheme="minorHAnsi"/>
        </w:rPr>
        <w:t>., 2015 SCC 23</w:t>
      </w:r>
      <w:r w:rsidR="00A52871" w:rsidRPr="00A52871">
        <w:rPr>
          <w:rFonts w:cstheme="minorHAnsi"/>
        </w:rPr>
        <w:t xml:space="preserve"> at para 1.</w:t>
      </w:r>
    </w:p>
  </w:footnote>
  <w:footnote w:id="40">
    <w:p w14:paraId="0C815A39" w14:textId="5C3D99A6" w:rsidR="00BC3ECC" w:rsidRDefault="00BC3ECC">
      <w:pPr>
        <w:pStyle w:val="FootnoteText"/>
      </w:pPr>
      <w:r>
        <w:rPr>
          <w:rStyle w:val="FootnoteReference"/>
        </w:rPr>
        <w:footnoteRef/>
      </w:r>
      <w:r>
        <w:t xml:space="preserve"> </w:t>
      </w:r>
      <w:r w:rsidRPr="00531183">
        <w:rPr>
          <w:i/>
          <w:iCs/>
        </w:rPr>
        <w:t>R. v. Mohan</w:t>
      </w:r>
      <w:r>
        <w:t xml:space="preserve">, </w:t>
      </w:r>
      <w:r w:rsidR="00531183">
        <w:t xml:space="preserve">1994 </w:t>
      </w:r>
      <w:r>
        <w:t>2 S.C.R. 9.</w:t>
      </w:r>
    </w:p>
  </w:footnote>
  <w:footnote w:id="41">
    <w:p w14:paraId="04653759" w14:textId="7BE4D7ED" w:rsidR="008902FE" w:rsidRDefault="008902FE">
      <w:pPr>
        <w:pStyle w:val="FootnoteText"/>
      </w:pPr>
      <w:r>
        <w:rPr>
          <w:rStyle w:val="FootnoteReference"/>
        </w:rPr>
        <w:footnoteRef/>
      </w:r>
      <w:r w:rsidR="00320F3D">
        <w:t xml:space="preserve">  </w:t>
      </w:r>
      <w:proofErr w:type="spellStart"/>
      <w:r w:rsidR="00320F3D" w:rsidRPr="001A7FD0">
        <w:rPr>
          <w:i/>
          <w:iCs/>
        </w:rPr>
        <w:t>R.</w:t>
      </w:r>
      <w:r w:rsidR="003E4751">
        <w:rPr>
          <w:i/>
          <w:iCs/>
        </w:rPr>
        <w:t>v.</w:t>
      </w:r>
      <w:proofErr w:type="spellEnd"/>
      <w:r w:rsidR="00320F3D" w:rsidRPr="001A7FD0">
        <w:rPr>
          <w:i/>
          <w:iCs/>
        </w:rPr>
        <w:t xml:space="preserve"> Abbey</w:t>
      </w:r>
      <w:r w:rsidR="001A7FD0">
        <w:t>, 2017 ONCA 640</w:t>
      </w:r>
      <w:r w:rsidR="00FD38D7">
        <w:t xml:space="preserve"> at paras 47-49</w:t>
      </w:r>
      <w:r w:rsidR="00684EE8">
        <w:t>.</w:t>
      </w:r>
    </w:p>
  </w:footnote>
  <w:footnote w:id="42">
    <w:p w14:paraId="7A696D36" w14:textId="616CFA65" w:rsidR="001D0D09" w:rsidRDefault="001D0D09">
      <w:pPr>
        <w:pStyle w:val="FootnoteText"/>
      </w:pPr>
      <w:r>
        <w:rPr>
          <w:rStyle w:val="FootnoteReference"/>
        </w:rPr>
        <w:footnoteRef/>
      </w:r>
      <w:r>
        <w:t xml:space="preserve"> </w:t>
      </w:r>
      <w:r w:rsidR="00EB0C2D" w:rsidRPr="00EB0C2D">
        <w:rPr>
          <w:i/>
          <w:iCs/>
        </w:rPr>
        <w:t>White, Burgess</w:t>
      </w:r>
      <w:r w:rsidR="00EB0C2D">
        <w:t xml:space="preserve"> at para 40.</w:t>
      </w:r>
    </w:p>
  </w:footnote>
  <w:footnote w:id="43">
    <w:p w14:paraId="6F6CD7E1" w14:textId="3C598035" w:rsidR="0009535E" w:rsidRDefault="0009535E">
      <w:pPr>
        <w:pStyle w:val="FootnoteText"/>
      </w:pPr>
      <w:r>
        <w:rPr>
          <w:rStyle w:val="FootnoteReference"/>
        </w:rPr>
        <w:footnoteRef/>
      </w:r>
      <w:r>
        <w:t xml:space="preserve"> </w:t>
      </w:r>
      <w:r w:rsidR="0050078B" w:rsidRPr="00EB0C2D">
        <w:rPr>
          <w:i/>
          <w:iCs/>
        </w:rPr>
        <w:t>White, Burgess</w:t>
      </w:r>
      <w:r w:rsidR="0050078B">
        <w:t xml:space="preserve"> </w:t>
      </w:r>
      <w:r w:rsidR="001D0D09">
        <w:t>at para 49.</w:t>
      </w:r>
    </w:p>
  </w:footnote>
  <w:footnote w:id="44">
    <w:p w14:paraId="6AF40D19" w14:textId="0F8A0DA5" w:rsidR="00801560" w:rsidRDefault="00801560">
      <w:pPr>
        <w:pStyle w:val="FootnoteText"/>
      </w:pPr>
      <w:r>
        <w:rPr>
          <w:rStyle w:val="FootnoteReference"/>
        </w:rPr>
        <w:footnoteRef/>
      </w:r>
      <w:r>
        <w:t xml:space="preserve"> </w:t>
      </w:r>
      <w:r w:rsidRPr="00561D5E">
        <w:rPr>
          <w:i/>
          <w:iCs/>
        </w:rPr>
        <w:t>White Burgess</w:t>
      </w:r>
      <w:r>
        <w:t xml:space="preserve"> at para </w:t>
      </w:r>
      <w:r w:rsidR="00561D5E">
        <w:t>49.</w:t>
      </w:r>
    </w:p>
  </w:footnote>
  <w:footnote w:id="45">
    <w:p w14:paraId="6AEA1D0C" w14:textId="77777777" w:rsidR="00D25CB0" w:rsidRPr="00501C59" w:rsidRDefault="00D25CB0" w:rsidP="00D25CB0">
      <w:pPr>
        <w:pStyle w:val="FootnoteText"/>
        <w:rPr>
          <w:rFonts w:cstheme="minorHAnsi"/>
        </w:rPr>
      </w:pPr>
      <w:r>
        <w:rPr>
          <w:rStyle w:val="FootnoteReference"/>
        </w:rPr>
        <w:footnoteRef/>
      </w:r>
      <w:r>
        <w:t xml:space="preserve"> </w:t>
      </w:r>
      <w:r w:rsidRPr="00501C59">
        <w:rPr>
          <w:rFonts w:cstheme="minorHAnsi"/>
          <w:i/>
        </w:rPr>
        <w:t>R. v. K.A</w:t>
      </w:r>
      <w:r w:rsidRPr="00501C59">
        <w:rPr>
          <w:rFonts w:cstheme="minorHAnsi"/>
        </w:rPr>
        <w:t>., [1999] O.J. No. 3280 (O</w:t>
      </w:r>
      <w:r>
        <w:rPr>
          <w:rFonts w:cstheme="minorHAnsi"/>
        </w:rPr>
        <w:t>NCA</w:t>
      </w:r>
      <w:r w:rsidRPr="00501C59">
        <w:rPr>
          <w:rFonts w:cstheme="minorHAnsi"/>
        </w:rPr>
        <w:t>)</w:t>
      </w:r>
    </w:p>
  </w:footnote>
  <w:footnote w:id="46">
    <w:p w14:paraId="36E3F06D" w14:textId="049F59A9" w:rsidR="000365C5" w:rsidRDefault="000365C5">
      <w:pPr>
        <w:pStyle w:val="FootnoteText"/>
      </w:pPr>
      <w:r>
        <w:rPr>
          <w:rStyle w:val="FootnoteReference"/>
        </w:rPr>
        <w:footnoteRef/>
      </w:r>
      <w:r>
        <w:t xml:space="preserve"> </w:t>
      </w:r>
      <w:r w:rsidRPr="00772370">
        <w:rPr>
          <w:i/>
          <w:iCs/>
        </w:rPr>
        <w:t>R. v. Abbey</w:t>
      </w:r>
      <w:r>
        <w:t xml:space="preserve"> </w:t>
      </w:r>
      <w:r w:rsidR="00571359">
        <w:t>(2009) ONCA 624 at para 109.</w:t>
      </w:r>
    </w:p>
  </w:footnote>
  <w:footnote w:id="47">
    <w:p w14:paraId="15A6270F" w14:textId="782A1996" w:rsidR="0097065F" w:rsidRDefault="0097065F">
      <w:pPr>
        <w:pStyle w:val="FootnoteText"/>
      </w:pPr>
      <w:r>
        <w:rPr>
          <w:rStyle w:val="FootnoteReference"/>
        </w:rPr>
        <w:footnoteRef/>
      </w:r>
      <w:r>
        <w:t xml:space="preserve"> R. v. Abbey </w:t>
      </w:r>
      <w:r w:rsidR="00816C13">
        <w:t>(</w:t>
      </w:r>
      <w:r>
        <w:t>2009</w:t>
      </w:r>
      <w:r w:rsidR="00816C13">
        <w:t>)</w:t>
      </w:r>
      <w:r w:rsidR="00FF24C7">
        <w:t xml:space="preserve"> ONCA 624 at para 114.</w:t>
      </w:r>
    </w:p>
  </w:footnote>
  <w:footnote w:id="48">
    <w:p w14:paraId="09287063" w14:textId="7759CF0D" w:rsidR="00846849" w:rsidRDefault="00846849">
      <w:pPr>
        <w:pStyle w:val="FootnoteText"/>
      </w:pPr>
      <w:r>
        <w:rPr>
          <w:rStyle w:val="FootnoteReference"/>
        </w:rPr>
        <w:footnoteRef/>
      </w:r>
      <w:r>
        <w:t xml:space="preserve"> </w:t>
      </w:r>
      <w:r w:rsidR="001150F1">
        <w:t>Ibid, at para 115.</w:t>
      </w:r>
    </w:p>
  </w:footnote>
  <w:footnote w:id="49">
    <w:p w14:paraId="58A90018" w14:textId="555039B2" w:rsidR="009B6912" w:rsidRDefault="009B6912">
      <w:pPr>
        <w:pStyle w:val="FootnoteText"/>
      </w:pPr>
      <w:r>
        <w:rPr>
          <w:rStyle w:val="FootnoteReference"/>
        </w:rPr>
        <w:footnoteRef/>
      </w:r>
      <w:r>
        <w:t xml:space="preserve"> </w:t>
      </w:r>
      <w:r w:rsidR="00B65942">
        <w:t>Ibid at para 119.</w:t>
      </w:r>
    </w:p>
  </w:footnote>
  <w:footnote w:id="50">
    <w:p w14:paraId="4C63B1D8" w14:textId="3DD63ACA" w:rsidR="003E4751" w:rsidRDefault="003E4751">
      <w:pPr>
        <w:pStyle w:val="FootnoteText"/>
      </w:pPr>
      <w:r>
        <w:rPr>
          <w:rStyle w:val="FootnoteReference"/>
        </w:rPr>
        <w:footnoteRef/>
      </w:r>
      <w:r>
        <w:t xml:space="preserve"> </w:t>
      </w:r>
      <w:r w:rsidR="00B62043" w:rsidRPr="00DA4F1E">
        <w:rPr>
          <w:i/>
          <w:iCs/>
        </w:rPr>
        <w:t>White Burgess</w:t>
      </w:r>
      <w:r w:rsidR="00FD1528">
        <w:t>, supra note 36 at pa</w:t>
      </w:r>
      <w:r w:rsidR="00DA4F1E">
        <w:t>ra 17.</w:t>
      </w:r>
    </w:p>
  </w:footnote>
  <w:footnote w:id="51">
    <w:p w14:paraId="365085ED" w14:textId="523FFF26" w:rsidR="005462BA" w:rsidRDefault="005462BA">
      <w:pPr>
        <w:pStyle w:val="FootnoteText"/>
      </w:pPr>
      <w:r>
        <w:rPr>
          <w:rStyle w:val="FootnoteReference"/>
        </w:rPr>
        <w:footnoteRef/>
      </w:r>
      <w:r>
        <w:t xml:space="preserve"> </w:t>
      </w:r>
      <w:r w:rsidR="00E31E10">
        <w:t xml:space="preserve">Professor Nicholas </w:t>
      </w:r>
      <w:proofErr w:type="spellStart"/>
      <w:r w:rsidR="00E31E10">
        <w:t>Bala</w:t>
      </w:r>
      <w:proofErr w:type="spellEnd"/>
      <w:r w:rsidR="00E31E10">
        <w:t xml:space="preserve"> and Jane Thompson made a similar point </w:t>
      </w:r>
      <w:r w:rsidR="00E66A2A">
        <w:t xml:space="preserve">in their paper, </w:t>
      </w:r>
      <w:r w:rsidR="00E66A2A" w:rsidRPr="00635DA0">
        <w:rPr>
          <w:i/>
          <w:iCs/>
        </w:rPr>
        <w:t>Expert Evidence and Assessments in Child Welfare Cases</w:t>
      </w:r>
      <w:r w:rsidR="00E66A2A">
        <w:t xml:space="preserve">, </w:t>
      </w:r>
      <w:r w:rsidR="00030C40">
        <w:t>(2015) Queen’s Law Research paper Series at page 15</w:t>
      </w:r>
      <w:r w:rsidR="00635DA0">
        <w:t xml:space="preserve"> as follows: “</w:t>
      </w:r>
      <w:r w:rsidR="00936E75" w:rsidRPr="0027775F">
        <w:rPr>
          <w:rStyle w:val="pdf-viewer-word"/>
          <w:rFonts w:ascii="Calibri" w:hAnsi="Calibri" w:cs="Calibri"/>
          <w:spacing w:val="1"/>
          <w:shd w:val="clear" w:color="auto" w:fill="FFFFFF"/>
        </w:rPr>
        <w:t>Although</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these</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issues</w:t>
      </w:r>
      <w:r w:rsidR="00936E75" w:rsidRPr="0027775F">
        <w:rPr>
          <w:rStyle w:val="pdf-viewer-word"/>
          <w:rFonts w:ascii="Calibri" w:hAnsi="Calibri" w:cs="Calibri"/>
          <w:spacing w:val="-3"/>
          <w:shd w:val="clear" w:color="auto" w:fill="FFFFFF"/>
        </w:rPr>
        <w:t xml:space="preserve"> </w:t>
      </w:r>
      <w:r w:rsidR="00936E75" w:rsidRPr="0027775F">
        <w:rPr>
          <w:rStyle w:val="pdf-viewer-word"/>
          <w:rFonts w:ascii="Calibri" w:hAnsi="Calibri" w:cs="Calibri"/>
          <w:spacing w:val="2"/>
          <w:shd w:val="clear" w:color="auto" w:fill="FFFFFF"/>
        </w:rPr>
        <w:t>of</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reliability</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are</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important</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many</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judges</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and</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lawyers</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3"/>
          <w:shd w:val="clear" w:color="auto" w:fill="FFFFFF"/>
        </w:rPr>
        <w:t>have</w:t>
      </w:r>
      <w:r w:rsidR="00936E75" w:rsidRPr="0027775F">
        <w:rPr>
          <w:rStyle w:val="pdf-viewer-word"/>
          <w:rFonts w:ascii="Calibri" w:hAnsi="Calibri" w:cs="Calibri"/>
          <w:spacing w:val="-3"/>
          <w:shd w:val="clear" w:color="auto" w:fill="FFFFFF"/>
        </w:rPr>
        <w:t xml:space="preserve"> </w:t>
      </w:r>
      <w:r w:rsidR="00936E75" w:rsidRPr="0027775F">
        <w:rPr>
          <w:rStyle w:val="pdf-viewer-word"/>
          <w:rFonts w:ascii="Calibri" w:hAnsi="Calibri" w:cs="Calibri"/>
          <w:spacing w:val="1"/>
          <w:shd w:val="clear" w:color="auto" w:fill="FFFFFF"/>
        </w:rPr>
        <w:t>greater</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understanding</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of</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issues</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3"/>
          <w:shd w:val="clear" w:color="auto" w:fill="FFFFFF"/>
        </w:rPr>
        <w:t>in</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the</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7"/>
          <w:shd w:val="clear" w:color="auto" w:fill="FFFFFF"/>
        </w:rPr>
        <w:t>“</w:t>
      </w:r>
      <w:r w:rsidR="00936E75" w:rsidRPr="0027775F">
        <w:rPr>
          <w:rStyle w:val="pdf-viewer-word"/>
          <w:rFonts w:ascii="Calibri" w:hAnsi="Calibri" w:cs="Calibri"/>
          <w:shd w:val="clear" w:color="auto" w:fill="FFFFFF"/>
        </w:rPr>
        <w:t>soft</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sciences</w:t>
      </w:r>
      <w:r w:rsidR="00936E75" w:rsidRPr="0027775F">
        <w:rPr>
          <w:rStyle w:val="pdf-viewer-word"/>
          <w:rFonts w:ascii="Calibri" w:hAnsi="Calibri" w:cs="Calibri"/>
          <w:spacing w:val="1"/>
          <w:shd w:val="clear" w:color="auto" w:fill="FFFFFF"/>
        </w:rPr>
        <w:t>,”</w:t>
      </w:r>
      <w:r w:rsidR="00936E75" w:rsidRPr="0027775F">
        <w:rPr>
          <w:rStyle w:val="pdf-viewer-word"/>
          <w:rFonts w:ascii="Calibri" w:hAnsi="Calibri" w:cs="Calibri"/>
          <w:spacing w:val="-3"/>
          <w:shd w:val="clear" w:color="auto" w:fill="FFFFFF"/>
        </w:rPr>
        <w:t xml:space="preserve"> </w:t>
      </w:r>
      <w:r w:rsidR="00936E75" w:rsidRPr="0027775F">
        <w:rPr>
          <w:rStyle w:val="pdf-viewer-word"/>
          <w:rFonts w:ascii="Calibri" w:hAnsi="Calibri" w:cs="Calibri"/>
          <w:spacing w:val="1"/>
          <w:shd w:val="clear" w:color="auto" w:fill="FFFFFF"/>
        </w:rPr>
        <w:t>and</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judges</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may</w:t>
      </w:r>
      <w:r w:rsidR="00936E75" w:rsidRPr="0027775F">
        <w:rPr>
          <w:rStyle w:val="pdf-viewer-word"/>
          <w:rFonts w:ascii="Calibri" w:hAnsi="Calibri" w:cs="Calibri"/>
          <w:spacing w:val="-3"/>
          <w:shd w:val="clear" w:color="auto" w:fill="FFFFFF"/>
        </w:rPr>
        <w:t xml:space="preserve"> </w:t>
      </w:r>
      <w:r w:rsidR="00936E75" w:rsidRPr="0027775F">
        <w:rPr>
          <w:rStyle w:val="pdf-viewer-word"/>
          <w:rFonts w:ascii="Calibri" w:hAnsi="Calibri" w:cs="Calibri"/>
          <w:spacing w:val="-1"/>
          <w:shd w:val="clear" w:color="auto" w:fill="FFFFFF"/>
        </w:rPr>
        <w:t>be</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better</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able</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3"/>
          <w:shd w:val="clear" w:color="auto" w:fill="FFFFFF"/>
        </w:rPr>
        <w:t>to</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3"/>
          <w:shd w:val="clear" w:color="auto" w:fill="FFFFFF"/>
        </w:rPr>
        <w:t>limit</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the</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weight</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of</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expert</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evidence</w:t>
      </w:r>
      <w:r w:rsidR="00936E75" w:rsidRPr="0027775F">
        <w:rPr>
          <w:rStyle w:val="pdf-viewer-word"/>
          <w:rFonts w:ascii="Calibri" w:hAnsi="Calibri" w:cs="Calibri"/>
          <w:spacing w:val="-3"/>
          <w:shd w:val="clear" w:color="auto" w:fill="FFFFFF"/>
        </w:rPr>
        <w:t xml:space="preserve"> </w:t>
      </w:r>
      <w:r w:rsidR="00936E75" w:rsidRPr="0027775F">
        <w:rPr>
          <w:rStyle w:val="pdf-viewer-word"/>
          <w:rFonts w:ascii="Calibri" w:hAnsi="Calibri" w:cs="Calibri"/>
          <w:shd w:val="clear" w:color="auto" w:fill="FFFFFF"/>
        </w:rPr>
        <w:t>regarding</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behavioural</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or</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social</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science</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than</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evidence</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2"/>
          <w:shd w:val="clear" w:color="auto" w:fill="FFFFFF"/>
        </w:rPr>
        <w:t>from</w:t>
      </w:r>
      <w:r w:rsidR="00936E75" w:rsidRPr="0027775F">
        <w:rPr>
          <w:rStyle w:val="pdf-viewer-word"/>
          <w:rFonts w:ascii="Calibri" w:hAnsi="Calibri" w:cs="Calibri"/>
          <w:spacing w:val="-2"/>
          <w:shd w:val="clear" w:color="auto" w:fill="FFFFFF"/>
        </w:rPr>
        <w:t xml:space="preserve"> </w:t>
      </w:r>
      <w:r w:rsidR="00936E75" w:rsidRPr="0027775F">
        <w:rPr>
          <w:rStyle w:val="pdf-viewer-word"/>
          <w:rFonts w:ascii="Calibri" w:hAnsi="Calibri" w:cs="Calibri"/>
          <w:spacing w:val="7"/>
          <w:shd w:val="clear" w:color="auto" w:fill="FFFFFF"/>
        </w:rPr>
        <w:t>a</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7"/>
          <w:shd w:val="clear" w:color="auto" w:fill="FFFFFF"/>
        </w:rPr>
        <w:t>“</w:t>
      </w:r>
      <w:r w:rsidR="00936E75" w:rsidRPr="0027775F">
        <w:rPr>
          <w:rStyle w:val="pdf-viewer-word"/>
          <w:rFonts w:ascii="Calibri" w:hAnsi="Calibri" w:cs="Calibri"/>
          <w:spacing w:val="1"/>
          <w:shd w:val="clear" w:color="auto" w:fill="FFFFFF"/>
        </w:rPr>
        <w:t>hard</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hd w:val="clear" w:color="auto" w:fill="FFFFFF"/>
        </w:rPr>
        <w:t>scientist</w:t>
      </w:r>
      <w:r w:rsidR="00936E75" w:rsidRPr="0027775F">
        <w:rPr>
          <w:rStyle w:val="pdf-viewer-word"/>
          <w:rFonts w:ascii="Calibri" w:hAnsi="Calibri" w:cs="Calibri"/>
          <w:spacing w:val="8"/>
          <w:shd w:val="clear" w:color="auto" w:fill="FFFFFF"/>
        </w:rPr>
        <w:t>”</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whose</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testimony</w:t>
      </w:r>
      <w:r w:rsidR="00936E75" w:rsidRPr="0027775F">
        <w:rPr>
          <w:rStyle w:val="pdf-viewer-word"/>
          <w:rFonts w:ascii="Calibri" w:hAnsi="Calibri" w:cs="Calibri"/>
          <w:spacing w:val="-3"/>
          <w:shd w:val="clear" w:color="auto" w:fill="FFFFFF"/>
        </w:rPr>
        <w:t xml:space="preserve"> </w:t>
      </w:r>
      <w:r w:rsidR="00936E75" w:rsidRPr="0027775F">
        <w:rPr>
          <w:rStyle w:val="pdf-viewer-word"/>
          <w:rFonts w:ascii="Calibri" w:hAnsi="Calibri" w:cs="Calibri"/>
          <w:spacing w:val="1"/>
          <w:shd w:val="clear" w:color="auto" w:fill="FFFFFF"/>
        </w:rPr>
        <w:t>may</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not</w:t>
      </w:r>
      <w:r w:rsidR="00936E75" w:rsidRPr="0027775F">
        <w:rPr>
          <w:rStyle w:val="pdf-viewer-word"/>
          <w:rFonts w:ascii="Calibri" w:hAnsi="Calibri" w:cs="Calibri"/>
          <w:spacing w:val="-5"/>
          <w:shd w:val="clear" w:color="auto" w:fill="FFFFFF"/>
        </w:rPr>
        <w:t xml:space="preserve"> </w:t>
      </w:r>
      <w:r w:rsidR="00936E75" w:rsidRPr="0027775F">
        <w:rPr>
          <w:rStyle w:val="pdf-viewer-word"/>
          <w:rFonts w:ascii="Calibri" w:hAnsi="Calibri" w:cs="Calibri"/>
          <w:spacing w:val="-1"/>
          <w:shd w:val="clear" w:color="auto" w:fill="FFFFFF"/>
        </w:rPr>
        <w:t>be</w:t>
      </w:r>
      <w:r w:rsidR="00936E75" w:rsidRPr="0027775F">
        <w:rPr>
          <w:rStyle w:val="pdf-viewer-word"/>
          <w:rFonts w:ascii="Calibri" w:hAnsi="Calibri" w:cs="Calibri"/>
          <w:spacing w:val="-3"/>
          <w:shd w:val="clear" w:color="auto" w:fill="FFFFFF"/>
        </w:rPr>
        <w:t xml:space="preserve"> </w:t>
      </w:r>
      <w:r w:rsidR="00936E75" w:rsidRPr="0027775F">
        <w:rPr>
          <w:rStyle w:val="pdf-viewer-word"/>
          <w:rFonts w:ascii="Calibri" w:hAnsi="Calibri" w:cs="Calibri"/>
          <w:spacing w:val="2"/>
          <w:shd w:val="clear" w:color="auto" w:fill="FFFFFF"/>
        </w:rPr>
        <w:t>fully</w:t>
      </w:r>
      <w:r w:rsidR="00936E75" w:rsidRPr="0027775F">
        <w:rPr>
          <w:rStyle w:val="pdf-viewer-word"/>
          <w:rFonts w:ascii="Calibri" w:hAnsi="Calibri" w:cs="Calibri"/>
          <w:spacing w:val="-3"/>
          <w:shd w:val="clear" w:color="auto" w:fill="FFFFFF"/>
        </w:rPr>
        <w:t xml:space="preserve"> </w:t>
      </w:r>
      <w:r w:rsidR="00936E75" w:rsidRPr="0027775F">
        <w:rPr>
          <w:rStyle w:val="pdf-viewer-word"/>
          <w:rFonts w:ascii="Calibri" w:hAnsi="Calibri" w:cs="Calibri"/>
          <w:spacing w:val="2"/>
          <w:shd w:val="clear" w:color="auto" w:fill="FFFFFF"/>
        </w:rPr>
        <w:t>comprehended</w:t>
      </w:r>
      <w:r w:rsidR="00635DA0">
        <w:rPr>
          <w:rStyle w:val="pdf-viewer-word"/>
          <w:rFonts w:ascii="Calibri" w:hAnsi="Calibri" w:cs="Calibri"/>
          <w:spacing w:val="2"/>
          <w:shd w:val="clear" w:color="auto" w:fill="FFFFFF"/>
        </w:rPr>
        <w:t>.”</w:t>
      </w:r>
    </w:p>
  </w:footnote>
  <w:footnote w:id="52">
    <w:p w14:paraId="40E4642E" w14:textId="77777777" w:rsidR="004558DA" w:rsidRDefault="004558DA" w:rsidP="004558DA">
      <w:pPr>
        <w:pStyle w:val="FootnoteText"/>
      </w:pPr>
      <w:r>
        <w:rPr>
          <w:rStyle w:val="FootnoteReference"/>
        </w:rPr>
        <w:footnoteRef/>
      </w:r>
      <w:r>
        <w:t xml:space="preserve"> </w:t>
      </w:r>
      <w:r w:rsidRPr="00A53679">
        <w:rPr>
          <w:i/>
          <w:iCs/>
        </w:rPr>
        <w:t>Catholic Children’s Aid Society v. D.V.R. and L.C.B.</w:t>
      </w:r>
      <w:r>
        <w:t xml:space="preserve"> (2018) ONCJ 271.</w:t>
      </w:r>
    </w:p>
  </w:footnote>
  <w:footnote w:id="53">
    <w:p w14:paraId="14E40896" w14:textId="77777777" w:rsidR="004558DA" w:rsidRDefault="004558DA" w:rsidP="004558DA">
      <w:pPr>
        <w:pStyle w:val="FootnoteText"/>
      </w:pPr>
      <w:r>
        <w:rPr>
          <w:rStyle w:val="FootnoteReference"/>
        </w:rPr>
        <w:footnoteRef/>
      </w:r>
      <w:r>
        <w:t xml:space="preserve"> Ibid, at para 21.</w:t>
      </w:r>
    </w:p>
  </w:footnote>
  <w:footnote w:id="54">
    <w:p w14:paraId="0B2A2E19" w14:textId="77777777" w:rsidR="004558DA" w:rsidRDefault="004558DA" w:rsidP="004558DA">
      <w:pPr>
        <w:pStyle w:val="FootnoteText"/>
      </w:pPr>
      <w:r>
        <w:rPr>
          <w:rStyle w:val="FootnoteReference"/>
        </w:rPr>
        <w:footnoteRef/>
      </w:r>
      <w:r>
        <w:t xml:space="preserve"> Ibid, at para 25.</w:t>
      </w:r>
    </w:p>
  </w:footnote>
  <w:footnote w:id="55">
    <w:p w14:paraId="6C37331F" w14:textId="77777777" w:rsidR="004558DA" w:rsidRDefault="004558DA" w:rsidP="004558DA">
      <w:pPr>
        <w:pStyle w:val="FootnoteText"/>
      </w:pPr>
      <w:r>
        <w:rPr>
          <w:rStyle w:val="FootnoteReference"/>
        </w:rPr>
        <w:footnoteRef/>
      </w:r>
      <w:r>
        <w:t xml:space="preserve"> Ibid, at paras 49 and 50.</w:t>
      </w:r>
    </w:p>
  </w:footnote>
  <w:footnote w:id="56">
    <w:p w14:paraId="639B9642" w14:textId="44085661" w:rsidR="00D66F81" w:rsidRDefault="00D66F81">
      <w:pPr>
        <w:pStyle w:val="FootnoteText"/>
      </w:pPr>
      <w:r>
        <w:rPr>
          <w:rStyle w:val="FootnoteReference"/>
        </w:rPr>
        <w:footnoteRef/>
      </w:r>
      <w:r>
        <w:t xml:space="preserve"> Ibid, at paras </w:t>
      </w:r>
      <w:r w:rsidR="001F3BAB">
        <w:t>52-58.</w:t>
      </w:r>
    </w:p>
  </w:footnote>
  <w:footnote w:id="57">
    <w:p w14:paraId="1CB11563" w14:textId="30CB3CFB" w:rsidR="004558DA" w:rsidRDefault="004558DA" w:rsidP="004558DA">
      <w:pPr>
        <w:pStyle w:val="FootnoteText"/>
      </w:pPr>
      <w:r>
        <w:rPr>
          <w:rStyle w:val="FootnoteReference"/>
        </w:rPr>
        <w:footnoteRef/>
      </w:r>
      <w:r>
        <w:t xml:space="preserve"> Ibid at paras </w:t>
      </w:r>
      <w:r w:rsidR="00B0770F">
        <w:t>49-50</w:t>
      </w:r>
      <w:r>
        <w:t>.</w:t>
      </w:r>
    </w:p>
  </w:footnote>
  <w:footnote w:id="58">
    <w:p w14:paraId="508E4ACF" w14:textId="77777777" w:rsidR="004558DA" w:rsidRDefault="004558DA" w:rsidP="004558DA">
      <w:pPr>
        <w:pStyle w:val="FootnoteText"/>
      </w:pPr>
      <w:r>
        <w:rPr>
          <w:rStyle w:val="FootnoteReference"/>
        </w:rPr>
        <w:footnoteRef/>
      </w:r>
      <w:r>
        <w:t xml:space="preserve"> Ibid at para 59.</w:t>
      </w:r>
    </w:p>
  </w:footnote>
  <w:footnote w:id="59">
    <w:p w14:paraId="1FF9A838" w14:textId="55752193" w:rsidR="000D3D94" w:rsidRDefault="000D3D94">
      <w:pPr>
        <w:pStyle w:val="FootnoteText"/>
      </w:pPr>
      <w:r>
        <w:rPr>
          <w:rStyle w:val="FootnoteReference"/>
        </w:rPr>
        <w:footnoteRef/>
      </w:r>
      <w:r>
        <w:t xml:space="preserve"> </w:t>
      </w:r>
      <w:r w:rsidR="0015385F" w:rsidRPr="00E60989">
        <w:rPr>
          <w:i/>
          <w:iCs/>
        </w:rPr>
        <w:t>Huron-Perth Children’s Aid Society and A.C. and J.S.-H</w:t>
      </w:r>
      <w:r w:rsidR="0015385F">
        <w:t>. 2020 ONCJ 251 at para 89.</w:t>
      </w:r>
      <w:r w:rsidR="006E60ED">
        <w:t xml:space="preserve">  The case is also noteworthy for the presence of a very well qualified assessor</w:t>
      </w:r>
      <w:r w:rsidR="00F57145">
        <w:t xml:space="preserve"> who was authorized to practice as </w:t>
      </w:r>
      <w:r w:rsidR="009851E9">
        <w:t xml:space="preserve">both </w:t>
      </w:r>
      <w:r w:rsidR="00F57145">
        <w:t xml:space="preserve">a </w:t>
      </w:r>
      <w:r w:rsidR="009851E9">
        <w:t xml:space="preserve">clinical and a </w:t>
      </w:r>
      <w:r w:rsidR="00F57145">
        <w:t>forensic psychologist.</w:t>
      </w:r>
    </w:p>
  </w:footnote>
  <w:footnote w:id="60">
    <w:p w14:paraId="57EC42F7" w14:textId="1F99CF9E" w:rsidR="005B554D" w:rsidRPr="0015385F" w:rsidRDefault="005B554D">
      <w:pPr>
        <w:pStyle w:val="FootnoteText"/>
      </w:pPr>
      <w:r>
        <w:rPr>
          <w:rStyle w:val="FootnoteReference"/>
        </w:rPr>
        <w:footnoteRef/>
      </w:r>
      <w:r>
        <w:t xml:space="preserve"> </w:t>
      </w:r>
      <w:r w:rsidR="0015385F">
        <w:t xml:space="preserve">Ibid at para </w:t>
      </w:r>
      <w:r w:rsidR="007F4CB3">
        <w:t>94.</w:t>
      </w:r>
    </w:p>
  </w:footnote>
  <w:footnote w:id="61">
    <w:p w14:paraId="6AA198B2" w14:textId="663CE2FE" w:rsidR="00E60989" w:rsidRDefault="00E60989">
      <w:pPr>
        <w:pStyle w:val="FootnoteText"/>
      </w:pPr>
      <w:r>
        <w:rPr>
          <w:rStyle w:val="FootnoteReference"/>
        </w:rPr>
        <w:footnoteRef/>
      </w:r>
      <w:r>
        <w:t xml:space="preserve"> Ibid at para </w:t>
      </w:r>
      <w:r w:rsidR="00614146">
        <w:t>100.</w:t>
      </w:r>
    </w:p>
  </w:footnote>
  <w:footnote w:id="62">
    <w:p w14:paraId="19DD7C05" w14:textId="5AF9FC64" w:rsidR="00621D01" w:rsidRDefault="00621D01">
      <w:pPr>
        <w:pStyle w:val="FootnoteText"/>
      </w:pPr>
      <w:r>
        <w:rPr>
          <w:rStyle w:val="FootnoteReference"/>
        </w:rPr>
        <w:footnoteRef/>
      </w:r>
      <w:r>
        <w:t xml:space="preserve"> Ibid at para 18.</w:t>
      </w:r>
    </w:p>
  </w:footnote>
  <w:footnote w:id="63">
    <w:p w14:paraId="793F63DC" w14:textId="5E151396" w:rsidR="005900F5" w:rsidRDefault="005900F5" w:rsidP="005900F5">
      <w:pPr>
        <w:pStyle w:val="FootnoteText"/>
      </w:pPr>
      <w:r>
        <w:rPr>
          <w:rStyle w:val="FootnoteReference"/>
        </w:rPr>
        <w:footnoteRef/>
      </w:r>
      <w:r>
        <w:t xml:space="preserve"> </w:t>
      </w:r>
      <w:r w:rsidRPr="00DB197C">
        <w:rPr>
          <w:i/>
          <w:iCs/>
        </w:rPr>
        <w:t xml:space="preserve">The Children’s Aid Society of Toronto </w:t>
      </w:r>
      <w:r w:rsidR="007514E9">
        <w:rPr>
          <w:i/>
          <w:iCs/>
        </w:rPr>
        <w:t>v.</w:t>
      </w:r>
      <w:r w:rsidRPr="00DB197C">
        <w:rPr>
          <w:i/>
          <w:iCs/>
        </w:rPr>
        <w:t xml:space="preserve"> V.D. and P.V.</w:t>
      </w:r>
      <w:r>
        <w:t xml:space="preserve"> (2016) ONSC 3297.  Note this was the first level appeal decision.  The trial decision was not reported.  This appeal decision was later affirmed by the Ontario Court of Appeal at </w:t>
      </w:r>
      <w:r w:rsidR="005A56B0" w:rsidRPr="007514E9">
        <w:rPr>
          <w:i/>
          <w:iCs/>
        </w:rPr>
        <w:t xml:space="preserve">The Children’s Aid Society of Toronto </w:t>
      </w:r>
      <w:r w:rsidR="007514E9" w:rsidRPr="007514E9">
        <w:rPr>
          <w:i/>
          <w:iCs/>
        </w:rPr>
        <w:t>v. V.D.</w:t>
      </w:r>
      <w:r w:rsidR="007514E9">
        <w:t xml:space="preserve"> </w:t>
      </w:r>
      <w:r>
        <w:t>2016 ONCA 959.</w:t>
      </w:r>
    </w:p>
  </w:footnote>
  <w:footnote w:id="64">
    <w:p w14:paraId="4F28576C" w14:textId="5FC52E93" w:rsidR="00686751" w:rsidRDefault="00686751">
      <w:pPr>
        <w:pStyle w:val="FootnoteText"/>
      </w:pPr>
      <w:r>
        <w:rPr>
          <w:rStyle w:val="FootnoteReference"/>
        </w:rPr>
        <w:footnoteRef/>
      </w:r>
      <w:r>
        <w:t xml:space="preserve"> </w:t>
      </w:r>
      <w:r w:rsidR="00B84482">
        <w:t>Ibid at para 26.</w:t>
      </w:r>
    </w:p>
  </w:footnote>
  <w:footnote w:id="65">
    <w:p w14:paraId="3CAF6305" w14:textId="6ED10CCF" w:rsidR="00B84482" w:rsidRDefault="00B84482">
      <w:pPr>
        <w:pStyle w:val="FootnoteText"/>
      </w:pPr>
      <w:r>
        <w:rPr>
          <w:rStyle w:val="FootnoteReference"/>
        </w:rPr>
        <w:footnoteRef/>
      </w:r>
      <w:r>
        <w:t xml:space="preserve"> Ibid at paras </w:t>
      </w:r>
      <w:r w:rsidR="0013592E">
        <w:t>16</w:t>
      </w:r>
      <w:r w:rsidR="00086B9A">
        <w:t xml:space="preserve"> and 29.</w:t>
      </w:r>
    </w:p>
  </w:footnote>
  <w:footnote w:id="66">
    <w:p w14:paraId="7DD44375" w14:textId="5E776561" w:rsidR="007E3CA4" w:rsidRDefault="007E3CA4">
      <w:pPr>
        <w:pStyle w:val="FootnoteText"/>
      </w:pPr>
      <w:r>
        <w:rPr>
          <w:rStyle w:val="FootnoteReference"/>
        </w:rPr>
        <w:footnoteRef/>
      </w:r>
      <w:r>
        <w:t xml:space="preserve"> Ibid at para 20.</w:t>
      </w:r>
    </w:p>
  </w:footnote>
  <w:footnote w:id="67">
    <w:p w14:paraId="3376FDDF" w14:textId="69DFC293" w:rsidR="00996DAD" w:rsidRDefault="00996DAD">
      <w:pPr>
        <w:pStyle w:val="FootnoteText"/>
      </w:pPr>
      <w:r>
        <w:rPr>
          <w:rStyle w:val="FootnoteReference"/>
        </w:rPr>
        <w:footnoteRef/>
      </w:r>
      <w:r>
        <w:t xml:space="preserve"> </w:t>
      </w:r>
      <w:r w:rsidR="004B73FC">
        <w:t>Ibid at para 23</w:t>
      </w:r>
      <w:r w:rsidR="001A551C">
        <w:t xml:space="preserve"> and 25.</w:t>
      </w:r>
    </w:p>
  </w:footnote>
  <w:footnote w:id="68">
    <w:p w14:paraId="34449941" w14:textId="584257D9" w:rsidR="0070610D" w:rsidRDefault="0070610D">
      <w:pPr>
        <w:pStyle w:val="FootnoteText"/>
      </w:pPr>
      <w:r>
        <w:rPr>
          <w:rStyle w:val="FootnoteReference"/>
        </w:rPr>
        <w:footnoteRef/>
      </w:r>
      <w:r>
        <w:t xml:space="preserve"> Ibid at para 35.</w:t>
      </w:r>
    </w:p>
  </w:footnote>
  <w:footnote w:id="69">
    <w:p w14:paraId="67C9F76D" w14:textId="33FB9DBB" w:rsidR="0070610D" w:rsidRDefault="0070610D">
      <w:pPr>
        <w:pStyle w:val="FootnoteText"/>
      </w:pPr>
      <w:r>
        <w:rPr>
          <w:rStyle w:val="FootnoteReference"/>
        </w:rPr>
        <w:footnoteRef/>
      </w:r>
      <w:r>
        <w:t xml:space="preserve"> </w:t>
      </w:r>
      <w:r w:rsidR="00F9770B">
        <w:t>Ibid at para 37.</w:t>
      </w:r>
    </w:p>
  </w:footnote>
  <w:footnote w:id="70">
    <w:p w14:paraId="2DC62D93" w14:textId="6973C339" w:rsidR="000406EA" w:rsidRDefault="000406EA">
      <w:pPr>
        <w:pStyle w:val="FootnoteText"/>
      </w:pPr>
      <w:r>
        <w:rPr>
          <w:rStyle w:val="FootnoteReference"/>
        </w:rPr>
        <w:footnoteRef/>
      </w:r>
      <w:r>
        <w:t xml:space="preserve"> Ibid at para 46.</w:t>
      </w:r>
    </w:p>
  </w:footnote>
  <w:footnote w:id="71">
    <w:p w14:paraId="0FE6E370" w14:textId="77777777" w:rsidR="005900F5" w:rsidRDefault="005900F5" w:rsidP="005900F5">
      <w:pPr>
        <w:pStyle w:val="FootnoteText"/>
      </w:pPr>
      <w:r>
        <w:rPr>
          <w:rStyle w:val="FootnoteReference"/>
        </w:rPr>
        <w:footnoteRef/>
      </w:r>
      <w:r>
        <w:t xml:space="preserve"> </w:t>
      </w:r>
      <w:r w:rsidRPr="000A2B60">
        <w:rPr>
          <w:rFonts w:cstheme="minorHAnsi"/>
          <w:i/>
          <w:iCs/>
        </w:rPr>
        <w:t>P.D. v. The Children’s Aid Society of the Region of Peel and K.D</w:t>
      </w:r>
      <w:r w:rsidRPr="000A2B60">
        <w:rPr>
          <w:rFonts w:cstheme="minorHAnsi"/>
        </w:rPr>
        <w:t>.</w:t>
      </w:r>
      <w:r>
        <w:rPr>
          <w:rFonts w:cstheme="minorHAnsi"/>
        </w:rPr>
        <w:t xml:space="preserve"> 2022 ONSC 1817.</w:t>
      </w:r>
    </w:p>
  </w:footnote>
  <w:footnote w:id="72">
    <w:p w14:paraId="27B0048C" w14:textId="77777777" w:rsidR="005900F5" w:rsidRDefault="005900F5" w:rsidP="005900F5">
      <w:pPr>
        <w:pStyle w:val="FootnoteText"/>
      </w:pPr>
      <w:r>
        <w:rPr>
          <w:rStyle w:val="FootnoteReference"/>
        </w:rPr>
        <w:footnoteRef/>
      </w:r>
      <w:r>
        <w:t xml:space="preserve"> Ibid, at para 71.</w:t>
      </w:r>
    </w:p>
  </w:footnote>
  <w:footnote w:id="73">
    <w:p w14:paraId="26AB45EE" w14:textId="77777777" w:rsidR="005900F5" w:rsidRDefault="005900F5" w:rsidP="005900F5">
      <w:pPr>
        <w:pStyle w:val="FootnoteText"/>
      </w:pPr>
      <w:r>
        <w:rPr>
          <w:rStyle w:val="FootnoteReference"/>
        </w:rPr>
        <w:footnoteRef/>
      </w:r>
      <w:r>
        <w:t xml:space="preserve"> Ibid, at para 71.</w:t>
      </w:r>
    </w:p>
  </w:footnote>
  <w:footnote w:id="74">
    <w:p w14:paraId="13A6717D" w14:textId="77777777" w:rsidR="005900F5" w:rsidRDefault="005900F5" w:rsidP="005900F5">
      <w:pPr>
        <w:pStyle w:val="FootnoteText"/>
      </w:pPr>
      <w:r>
        <w:rPr>
          <w:rStyle w:val="FootnoteReference"/>
        </w:rPr>
        <w:footnoteRef/>
      </w:r>
      <w:r>
        <w:t xml:space="preserve"> Ibid at para 78.</w:t>
      </w:r>
    </w:p>
  </w:footnote>
  <w:footnote w:id="75">
    <w:p w14:paraId="735C7A76" w14:textId="77777777" w:rsidR="005900F5" w:rsidRDefault="005900F5" w:rsidP="005900F5">
      <w:pPr>
        <w:pStyle w:val="FootnoteText"/>
      </w:pPr>
      <w:r>
        <w:rPr>
          <w:rStyle w:val="FootnoteReference"/>
        </w:rPr>
        <w:footnoteRef/>
      </w:r>
      <w:r>
        <w:t xml:space="preserve"> Ibid, at para 80-81.</w:t>
      </w:r>
    </w:p>
  </w:footnote>
  <w:footnote w:id="76">
    <w:p w14:paraId="2CC63E42" w14:textId="0F19F544" w:rsidR="002F3D21" w:rsidRDefault="002F3D21">
      <w:pPr>
        <w:pStyle w:val="FootnoteText"/>
      </w:pPr>
      <w:r>
        <w:rPr>
          <w:rStyle w:val="FootnoteReference"/>
        </w:rPr>
        <w:footnoteRef/>
      </w:r>
      <w:r>
        <w:t xml:space="preserve"> </w:t>
      </w:r>
      <w:r w:rsidRPr="00165319">
        <w:rPr>
          <w:i/>
          <w:iCs/>
        </w:rPr>
        <w:t>Children’s Aid Society of the Regional Municipality of Waterloo v. P.W. and M.T.</w:t>
      </w:r>
      <w:r>
        <w:t xml:space="preserve"> 2022 ONSC 4340 at para 118.</w:t>
      </w:r>
    </w:p>
  </w:footnote>
  <w:footnote w:id="77">
    <w:p w14:paraId="5E059DD8" w14:textId="124CD446" w:rsidR="00362B31" w:rsidRDefault="00362B31">
      <w:pPr>
        <w:pStyle w:val="FootnoteText"/>
      </w:pPr>
      <w:r>
        <w:rPr>
          <w:rStyle w:val="FootnoteReference"/>
        </w:rPr>
        <w:footnoteRef/>
      </w:r>
      <w:r>
        <w:t xml:space="preserve"> </w:t>
      </w:r>
      <w:r w:rsidR="002F3D21">
        <w:t>Ibid</w:t>
      </w:r>
      <w:r>
        <w:t xml:space="preserve"> at paras </w:t>
      </w:r>
      <w:r w:rsidR="002F3D21">
        <w:t>118-121.</w:t>
      </w:r>
    </w:p>
  </w:footnote>
  <w:footnote w:id="78">
    <w:p w14:paraId="788B495E" w14:textId="351787E6" w:rsidR="00375B7B" w:rsidRDefault="00375B7B">
      <w:pPr>
        <w:pStyle w:val="FootnoteText"/>
      </w:pPr>
      <w:r>
        <w:rPr>
          <w:rStyle w:val="FootnoteReference"/>
        </w:rPr>
        <w:footnoteRef/>
      </w:r>
      <w:r>
        <w:t xml:space="preserve"> </w:t>
      </w:r>
      <w:r w:rsidR="00EE6B67" w:rsidRPr="00EE6B67">
        <w:rPr>
          <w:i/>
          <w:iCs/>
        </w:rPr>
        <w:t>Halton Children’s Aid Society v. J.B. and D.T</w:t>
      </w:r>
      <w:r w:rsidR="00EE6B67">
        <w:t>., 2018 ONCJ 884</w:t>
      </w:r>
    </w:p>
  </w:footnote>
  <w:footnote w:id="79">
    <w:p w14:paraId="4B6CF380" w14:textId="35766C78" w:rsidR="00344F62" w:rsidRDefault="00344F62">
      <w:pPr>
        <w:pStyle w:val="FootnoteText"/>
      </w:pPr>
      <w:r>
        <w:rPr>
          <w:rStyle w:val="FootnoteReference"/>
        </w:rPr>
        <w:footnoteRef/>
      </w:r>
      <w:r>
        <w:t xml:space="preserve"> </w:t>
      </w:r>
      <w:r w:rsidR="00601663">
        <w:t>Ibid at paragraph 30.</w:t>
      </w:r>
    </w:p>
  </w:footnote>
  <w:footnote w:id="80">
    <w:p w14:paraId="07E37EB1" w14:textId="0C7D72C0" w:rsidR="00AF513E" w:rsidRDefault="00AF513E">
      <w:pPr>
        <w:pStyle w:val="FootnoteText"/>
      </w:pPr>
      <w:r>
        <w:rPr>
          <w:rStyle w:val="FootnoteReference"/>
        </w:rPr>
        <w:footnoteRef/>
      </w:r>
      <w:r>
        <w:t xml:space="preserve"> </w:t>
      </w:r>
      <w:r w:rsidR="002452EE">
        <w:t>Ibid at paragraph 33.</w:t>
      </w:r>
    </w:p>
  </w:footnote>
  <w:footnote w:id="81">
    <w:p w14:paraId="6E6958D9" w14:textId="2E48D1FD" w:rsidR="00CD085F" w:rsidRDefault="00CD085F">
      <w:pPr>
        <w:pStyle w:val="FootnoteText"/>
      </w:pPr>
      <w:r>
        <w:rPr>
          <w:rStyle w:val="FootnoteReference"/>
        </w:rPr>
        <w:footnoteRef/>
      </w:r>
      <w:r>
        <w:t xml:space="preserve"> Ibid at paragraph 38.</w:t>
      </w:r>
    </w:p>
  </w:footnote>
  <w:footnote w:id="82">
    <w:p w14:paraId="0600DDA2" w14:textId="7E43EB5B" w:rsidR="00410F72" w:rsidRDefault="00410F72">
      <w:pPr>
        <w:pStyle w:val="FootnoteText"/>
      </w:pPr>
      <w:r>
        <w:rPr>
          <w:rStyle w:val="FootnoteReference"/>
        </w:rPr>
        <w:footnoteRef/>
      </w:r>
      <w:r>
        <w:t xml:space="preserve"> Ibid </w:t>
      </w:r>
      <w:r w:rsidR="00641675">
        <w:t>at paragraph 19.</w:t>
      </w:r>
    </w:p>
  </w:footnote>
  <w:footnote w:id="83">
    <w:p w14:paraId="7C836156" w14:textId="7D4D9091" w:rsidR="0092354B" w:rsidRDefault="0092354B">
      <w:pPr>
        <w:pStyle w:val="FootnoteText"/>
      </w:pPr>
      <w:r>
        <w:rPr>
          <w:rStyle w:val="FootnoteReference"/>
        </w:rPr>
        <w:footnoteRef/>
      </w:r>
      <w:r>
        <w:t xml:space="preserve"> </w:t>
      </w:r>
      <w:r w:rsidR="007E6B10" w:rsidRPr="00A573B9">
        <w:rPr>
          <w:i/>
          <w:iCs/>
        </w:rPr>
        <w:t xml:space="preserve">There’s no rule on who can write assessments that ‘effectively decide’ </w:t>
      </w:r>
      <w:r w:rsidR="008A7AB0" w:rsidRPr="00A573B9">
        <w:rPr>
          <w:i/>
          <w:iCs/>
        </w:rPr>
        <w:t xml:space="preserve">if an Ontario parent loses their child.  Experts say </w:t>
      </w:r>
      <w:r w:rsidR="00A573B9" w:rsidRPr="00A573B9">
        <w:rPr>
          <w:i/>
          <w:iCs/>
        </w:rPr>
        <w:t>that must change</w:t>
      </w:r>
      <w:r w:rsidR="00A573B9">
        <w:t xml:space="preserve">.  August 2, </w:t>
      </w:r>
      <w:proofErr w:type="gramStart"/>
      <w:r w:rsidR="00A573B9">
        <w:t>2019</w:t>
      </w:r>
      <w:proofErr w:type="gramEnd"/>
      <w:r w:rsidR="00A573B9">
        <w:t xml:space="preserve"> </w:t>
      </w:r>
      <w:r w:rsidR="00073C04">
        <w:t>Jacques Gallant Toronto Star.</w:t>
      </w:r>
      <w:r w:rsidR="00853DB2">
        <w:t xml:space="preserve">  In </w:t>
      </w:r>
      <w:r w:rsidR="000E6C9B">
        <w:t xml:space="preserve">another article within the same series, the Star reported that Dr. </w:t>
      </w:r>
      <w:r w:rsidR="009A238F">
        <w:t xml:space="preserve">Oren Amitay had completed four parenting assessments for Children’s Aid Societies without the agencies knowing that he had been </w:t>
      </w:r>
      <w:r w:rsidR="007B1F81">
        <w:t>cautioned and ordered by the Ontario College of Psychologists t</w:t>
      </w:r>
      <w:r w:rsidR="00F34D4A">
        <w:t xml:space="preserve">o work with a mentor. See </w:t>
      </w:r>
      <w:r w:rsidR="00D62495">
        <w:t xml:space="preserve">‘Ontario psychologist completed assessments without </w:t>
      </w:r>
      <w:r w:rsidR="00515554">
        <w:t xml:space="preserve">children’s aid societies knowing he had been cautioned’.  Toronto Star October 15, </w:t>
      </w:r>
      <w:proofErr w:type="gramStart"/>
      <w:r w:rsidR="00515554">
        <w:t>2019</w:t>
      </w:r>
      <w:proofErr w:type="gramEnd"/>
      <w:r w:rsidR="00515554">
        <w:t xml:space="preserve"> </w:t>
      </w:r>
      <w:r w:rsidR="00422F90">
        <w:t>Jacques Gallant.</w:t>
      </w:r>
      <w:r w:rsidR="009A238F">
        <w:t xml:space="preserve"> </w:t>
      </w:r>
    </w:p>
  </w:footnote>
  <w:footnote w:id="84">
    <w:p w14:paraId="17648D9B" w14:textId="78BFC038" w:rsidR="00655549" w:rsidRDefault="00655549">
      <w:pPr>
        <w:pStyle w:val="FootnoteText"/>
      </w:pPr>
      <w:r>
        <w:rPr>
          <w:rStyle w:val="FootnoteReference"/>
        </w:rPr>
        <w:footnoteRef/>
      </w:r>
      <w:r>
        <w:t xml:space="preserve"> </w:t>
      </w:r>
      <w:r w:rsidR="00921D37">
        <w:t xml:space="preserve">Policy Directive CW </w:t>
      </w:r>
      <w:r w:rsidR="00095609">
        <w:t xml:space="preserve">001-19:  Verifying the Credentials of Individuals Conducting Parenting Capacity Assessments. </w:t>
      </w:r>
      <w:r w:rsidR="00592B20">
        <w:t xml:space="preserve">August 22, 2019.  Ministry of </w:t>
      </w:r>
      <w:r w:rsidR="00246119">
        <w:t>Children, Community and Social Services.</w:t>
      </w:r>
    </w:p>
  </w:footnote>
  <w:footnote w:id="85">
    <w:p w14:paraId="733981C8" w14:textId="77777777" w:rsidR="004D0D64" w:rsidRDefault="004D0D64" w:rsidP="004D0D64">
      <w:pPr>
        <w:pStyle w:val="FootnoteText"/>
      </w:pPr>
      <w:r>
        <w:rPr>
          <w:rStyle w:val="FootnoteReference"/>
        </w:rPr>
        <w:footnoteRef/>
      </w:r>
      <w:r>
        <w:t xml:space="preserve"> </w:t>
      </w:r>
      <w:r w:rsidRPr="00212AF2">
        <w:rPr>
          <w:i/>
          <w:iCs/>
        </w:rPr>
        <w:t>Children’s Aid Society of Algoma and F.M</w:t>
      </w:r>
      <w:r>
        <w:t>., 2021 ONCJ 186 at para 19.</w:t>
      </w:r>
    </w:p>
  </w:footnote>
  <w:footnote w:id="86">
    <w:p w14:paraId="0034CE12" w14:textId="77777777" w:rsidR="004D0D64" w:rsidRDefault="004D0D64" w:rsidP="004D0D64">
      <w:pPr>
        <w:pStyle w:val="FootnoteText"/>
      </w:pPr>
      <w:r>
        <w:rPr>
          <w:rStyle w:val="FootnoteReference"/>
        </w:rPr>
        <w:footnoteRef/>
      </w:r>
      <w:r>
        <w:t xml:space="preserve"> Ibid at paras 19 and 20.</w:t>
      </w:r>
    </w:p>
  </w:footnote>
  <w:footnote w:id="87">
    <w:p w14:paraId="04D2381F" w14:textId="77777777" w:rsidR="004D0D64" w:rsidRDefault="004D0D64" w:rsidP="004D0D64">
      <w:pPr>
        <w:pStyle w:val="FootnoteText"/>
      </w:pPr>
      <w:r>
        <w:rPr>
          <w:rStyle w:val="FootnoteReference"/>
        </w:rPr>
        <w:footnoteRef/>
      </w:r>
      <w:r>
        <w:t xml:space="preserve"> Ibid at para 18.</w:t>
      </w:r>
    </w:p>
  </w:footnote>
  <w:footnote w:id="88">
    <w:p w14:paraId="0FBFBDDB" w14:textId="77777777" w:rsidR="004D0D64" w:rsidRDefault="004D0D64" w:rsidP="004D0D64">
      <w:pPr>
        <w:pStyle w:val="FootnoteText"/>
      </w:pPr>
      <w:r>
        <w:rPr>
          <w:rStyle w:val="FootnoteReference"/>
        </w:rPr>
        <w:footnoteRef/>
      </w:r>
      <w:r>
        <w:t xml:space="preserve"> Ibid at paras 24 and 25.</w:t>
      </w:r>
    </w:p>
  </w:footnote>
  <w:footnote w:id="89">
    <w:p w14:paraId="49E32C12" w14:textId="77777777" w:rsidR="004D0D64" w:rsidRDefault="004D0D64" w:rsidP="004D0D64">
      <w:pPr>
        <w:pStyle w:val="FootnoteText"/>
      </w:pPr>
      <w:r>
        <w:rPr>
          <w:rStyle w:val="FootnoteReference"/>
        </w:rPr>
        <w:footnoteRef/>
      </w:r>
      <w:r>
        <w:t xml:space="preserve"> </w:t>
      </w:r>
      <w:r w:rsidRPr="007438F1">
        <w:rPr>
          <w:i/>
          <w:iCs/>
        </w:rPr>
        <w:t>Children’s Aid Society of Algoma and F.M</w:t>
      </w:r>
      <w:r>
        <w:t>., 2021 ONCJ 393 at paras 69-73.</w:t>
      </w:r>
    </w:p>
  </w:footnote>
  <w:footnote w:id="90">
    <w:p w14:paraId="65021AA5" w14:textId="00F021C1" w:rsidR="00DD4400" w:rsidRDefault="00DD4400">
      <w:pPr>
        <w:pStyle w:val="FootnoteText"/>
      </w:pPr>
      <w:r>
        <w:rPr>
          <w:rStyle w:val="FootnoteReference"/>
        </w:rPr>
        <w:footnoteRef/>
      </w:r>
      <w:r>
        <w:t xml:space="preserve"> </w:t>
      </w:r>
      <w:r w:rsidRPr="00DD4400">
        <w:rPr>
          <w:i/>
          <w:iCs/>
        </w:rPr>
        <w:t>Children’s Aid Society of Toronto v. A.L</w:t>
      </w:r>
      <w:r>
        <w:t>., 2021 ONCJ 258</w:t>
      </w:r>
    </w:p>
  </w:footnote>
  <w:footnote w:id="91">
    <w:p w14:paraId="43F5E6A6" w14:textId="51B009F8" w:rsidR="00197B0F" w:rsidRDefault="00197B0F">
      <w:pPr>
        <w:pStyle w:val="FootnoteText"/>
      </w:pPr>
      <w:r>
        <w:rPr>
          <w:rStyle w:val="FootnoteReference"/>
        </w:rPr>
        <w:footnoteRef/>
      </w:r>
      <w:r>
        <w:t xml:space="preserve"> Ibid at para 110.</w:t>
      </w:r>
    </w:p>
  </w:footnote>
  <w:footnote w:id="92">
    <w:p w14:paraId="22EB3445" w14:textId="655EF88B" w:rsidR="004D5A80" w:rsidRDefault="004D5A80">
      <w:pPr>
        <w:pStyle w:val="FootnoteText"/>
      </w:pPr>
      <w:r>
        <w:rPr>
          <w:rStyle w:val="FootnoteReference"/>
        </w:rPr>
        <w:footnoteRef/>
      </w:r>
      <w:r>
        <w:t xml:space="preserve"> Ibid at paras 188-122.</w:t>
      </w:r>
    </w:p>
  </w:footnote>
  <w:footnote w:id="93">
    <w:p w14:paraId="2D2B3083" w14:textId="1B4FF8CC" w:rsidR="002336B6" w:rsidRDefault="002336B6">
      <w:pPr>
        <w:pStyle w:val="FootnoteText"/>
      </w:pPr>
      <w:r>
        <w:rPr>
          <w:rStyle w:val="FootnoteReference"/>
        </w:rPr>
        <w:footnoteRef/>
      </w:r>
      <w:r>
        <w:t xml:space="preserve"> </w:t>
      </w:r>
      <w:r w:rsidR="00920261">
        <w:t>Ibid at para 205.</w:t>
      </w:r>
    </w:p>
  </w:footnote>
  <w:footnote w:id="94">
    <w:p w14:paraId="2267C280" w14:textId="5242DF20" w:rsidR="002C44DF" w:rsidRDefault="002C44DF">
      <w:pPr>
        <w:pStyle w:val="FootnoteText"/>
      </w:pPr>
      <w:r>
        <w:rPr>
          <w:rStyle w:val="FootnoteReference"/>
        </w:rPr>
        <w:footnoteRef/>
      </w:r>
      <w:r>
        <w:t xml:space="preserve"> Ibid at para 147.  Note:  </w:t>
      </w:r>
      <w:r w:rsidR="00BD4B80">
        <w:t xml:space="preserve">this recommendation </w:t>
      </w:r>
      <w:r w:rsidR="00037728">
        <w:t xml:space="preserve">by Dr. Marshall </w:t>
      </w:r>
      <w:r w:rsidR="00BD4B80">
        <w:t xml:space="preserve">for </w:t>
      </w:r>
      <w:r w:rsidR="00037728">
        <w:t xml:space="preserve">the </w:t>
      </w:r>
      <w:r w:rsidR="00BD4B80">
        <w:t>length of time of an observation</w:t>
      </w:r>
      <w:r w:rsidR="00037728">
        <w:t xml:space="preserve"> session</w:t>
      </w:r>
      <w:r w:rsidR="00BD4B80">
        <w:t xml:space="preserve"> is not consistent with </w:t>
      </w:r>
      <w:r w:rsidR="00C0312C">
        <w:t>the recommendations of Budd et al (2011)</w:t>
      </w:r>
      <w:r w:rsidR="00971E1E">
        <w:t xml:space="preserve">.  They recommend </w:t>
      </w:r>
      <w:r w:rsidR="0024499E">
        <w:t>simply more than one visit and for longer than one hour</w:t>
      </w:r>
      <w:r w:rsidR="00430C8C">
        <w:t>.  See page 136</w:t>
      </w:r>
      <w:r w:rsidR="00326791">
        <w:t>.</w:t>
      </w:r>
      <w:r w:rsidR="003A5E15">
        <w:t xml:space="preserve">  It is also worth noting that </w:t>
      </w:r>
      <w:r w:rsidR="00C43953">
        <w:t xml:space="preserve">the expert opinion evidence of Dr. McDermott has been relied upon by many other courts including </w:t>
      </w:r>
      <w:r w:rsidR="002E6AB3">
        <w:t xml:space="preserve">in the 2015 case </w:t>
      </w:r>
      <w:r w:rsidR="002E6AB3" w:rsidRPr="00111E13">
        <w:rPr>
          <w:i/>
          <w:iCs/>
        </w:rPr>
        <w:t>Children’s Aid Society of Hamilton v. V.B. and M.B</w:t>
      </w:r>
      <w:r w:rsidR="002E6AB3">
        <w:t xml:space="preserve">., 2015 ONSC 4602 </w:t>
      </w:r>
      <w:r w:rsidR="004A6ACD">
        <w:t xml:space="preserve"> where Justice </w:t>
      </w:r>
      <w:proofErr w:type="spellStart"/>
      <w:r w:rsidR="004A6ACD">
        <w:t>Ch</w:t>
      </w:r>
      <w:r w:rsidR="002463FB">
        <w:t>appel</w:t>
      </w:r>
      <w:proofErr w:type="spellEnd"/>
      <w:r w:rsidR="002463FB">
        <w:t xml:space="preserve"> pointed out in the face of a challenge to the report that </w:t>
      </w:r>
      <w:r w:rsidR="002D269E">
        <w:t xml:space="preserve">she did not have any concerns about the </w:t>
      </w:r>
      <w:r w:rsidR="00CC4C94">
        <w:t>credibility and reliability of Dr. McDermott or her m</w:t>
      </w:r>
      <w:r w:rsidR="002D1BAA">
        <w:t>ethodology or integrity of her parenting capacity assessment</w:t>
      </w:r>
      <w:r w:rsidR="00111E13">
        <w:t xml:space="preserve"> (see para 19).</w:t>
      </w:r>
    </w:p>
  </w:footnote>
  <w:footnote w:id="95">
    <w:p w14:paraId="011DBAC9" w14:textId="2C855615" w:rsidR="00CB1EBF" w:rsidRDefault="00CB1EBF">
      <w:pPr>
        <w:pStyle w:val="FootnoteText"/>
      </w:pPr>
      <w:r>
        <w:rPr>
          <w:rStyle w:val="FootnoteReference"/>
        </w:rPr>
        <w:footnoteRef/>
      </w:r>
      <w:r>
        <w:t xml:space="preserve"> Ibid at para 17</w:t>
      </w:r>
      <w:r w:rsidR="00C90A7B">
        <w:t>1</w:t>
      </w:r>
      <w:r>
        <w:t>.</w:t>
      </w:r>
    </w:p>
  </w:footnote>
  <w:footnote w:id="96">
    <w:p w14:paraId="5117513C" w14:textId="3DBD40AA" w:rsidR="007C64C0" w:rsidRDefault="007C64C0">
      <w:pPr>
        <w:pStyle w:val="FootnoteText"/>
      </w:pPr>
      <w:r>
        <w:rPr>
          <w:rStyle w:val="FootnoteReference"/>
        </w:rPr>
        <w:footnoteRef/>
      </w:r>
      <w:r>
        <w:t xml:space="preserve"> Ibid at para 185.</w:t>
      </w:r>
    </w:p>
  </w:footnote>
  <w:footnote w:id="97">
    <w:p w14:paraId="19B5E0F7" w14:textId="6D43ACD2" w:rsidR="00752806" w:rsidRDefault="00752806">
      <w:pPr>
        <w:pStyle w:val="FootnoteText"/>
      </w:pPr>
      <w:r>
        <w:rPr>
          <w:rStyle w:val="FootnoteReference"/>
        </w:rPr>
        <w:footnoteRef/>
      </w:r>
      <w:r>
        <w:t xml:space="preserve"> Ibid at para 226.</w:t>
      </w:r>
    </w:p>
  </w:footnote>
  <w:footnote w:id="98">
    <w:p w14:paraId="6DF571BF" w14:textId="5B8BE64F" w:rsidR="00021F83" w:rsidRPr="00A24301" w:rsidRDefault="00021F83">
      <w:pPr>
        <w:pStyle w:val="FootnoteText"/>
        <w:rPr>
          <w:rFonts w:ascii="Calibri" w:hAnsi="Calibri" w:cs="Calibri"/>
        </w:rPr>
      </w:pPr>
      <w:r>
        <w:rPr>
          <w:rStyle w:val="FootnoteReference"/>
        </w:rPr>
        <w:footnoteRef/>
      </w:r>
      <w:r>
        <w:t xml:space="preserve"> </w:t>
      </w:r>
      <w:r w:rsidRPr="00A24301">
        <w:rPr>
          <w:rFonts w:ascii="Calibri" w:hAnsi="Calibri" w:cs="Calibri"/>
          <w:i/>
          <w:iCs/>
          <w:color w:val="000000"/>
        </w:rPr>
        <w:t>Information for Consideration by Members Providing Psychological Services in the Context of Child Custody Disputes &amp; Child Protection Proceedings</w:t>
      </w:r>
      <w:r w:rsidRPr="00A24301">
        <w:rPr>
          <w:rFonts w:ascii="Calibri" w:hAnsi="Calibri" w:cs="Calibri"/>
          <w:color w:val="000000"/>
        </w:rPr>
        <w:t xml:space="preserve"> January 2014 CPO.ON.CA/Resources</w:t>
      </w:r>
    </w:p>
  </w:footnote>
  <w:footnote w:id="99">
    <w:p w14:paraId="37E82C8F" w14:textId="5447D7A5" w:rsidR="00DF33B7" w:rsidRPr="00A24301" w:rsidRDefault="00DF33B7">
      <w:pPr>
        <w:pStyle w:val="FootnoteText"/>
        <w:rPr>
          <w:rFonts w:ascii="Calibri" w:hAnsi="Calibri" w:cs="Calibri"/>
        </w:rPr>
      </w:pPr>
      <w:r w:rsidRPr="00A24301">
        <w:rPr>
          <w:rStyle w:val="FootnoteReference"/>
          <w:rFonts w:ascii="Calibri" w:hAnsi="Calibri" w:cs="Calibri"/>
        </w:rPr>
        <w:footnoteRef/>
      </w:r>
      <w:r w:rsidRPr="00A24301">
        <w:rPr>
          <w:rFonts w:ascii="Calibri" w:hAnsi="Calibri" w:cs="Calibri"/>
        </w:rPr>
        <w:t xml:space="preserve"> </w:t>
      </w:r>
      <w:r w:rsidRPr="00A24301">
        <w:rPr>
          <w:rFonts w:ascii="Calibri" w:hAnsi="Calibri" w:cs="Calibri"/>
          <w:i/>
          <w:iCs/>
          <w:color w:val="000000"/>
        </w:rPr>
        <w:t>Guidelines for Psychological Evaluations in Child Protection Matters</w:t>
      </w:r>
      <w:r w:rsidRPr="00A24301">
        <w:rPr>
          <w:rFonts w:ascii="Calibri" w:hAnsi="Calibri" w:cs="Calibri"/>
          <w:color w:val="000000"/>
        </w:rPr>
        <w:t xml:space="preserve"> A</w:t>
      </w:r>
      <w:r w:rsidR="00BF4804" w:rsidRPr="00A24301">
        <w:rPr>
          <w:rFonts w:ascii="Calibri" w:hAnsi="Calibri" w:cs="Calibri"/>
          <w:color w:val="000000"/>
        </w:rPr>
        <w:t xml:space="preserve">merican </w:t>
      </w:r>
      <w:r w:rsidRPr="00A24301">
        <w:rPr>
          <w:rFonts w:ascii="Calibri" w:hAnsi="Calibri" w:cs="Calibri"/>
          <w:color w:val="000000"/>
        </w:rPr>
        <w:t>P</w:t>
      </w:r>
      <w:r w:rsidR="00BF4804" w:rsidRPr="00A24301">
        <w:rPr>
          <w:rFonts w:ascii="Calibri" w:hAnsi="Calibri" w:cs="Calibri"/>
          <w:color w:val="000000"/>
        </w:rPr>
        <w:t xml:space="preserve">sychological </w:t>
      </w:r>
      <w:r w:rsidRPr="00A24301">
        <w:rPr>
          <w:rFonts w:ascii="Calibri" w:hAnsi="Calibri" w:cs="Calibri"/>
          <w:color w:val="000000"/>
        </w:rPr>
        <w:t>A</w:t>
      </w:r>
      <w:r w:rsidR="00BF4804" w:rsidRPr="00A24301">
        <w:rPr>
          <w:rFonts w:ascii="Calibri" w:hAnsi="Calibri" w:cs="Calibri"/>
          <w:color w:val="000000"/>
        </w:rPr>
        <w:t>ssociation</w:t>
      </w:r>
      <w:r w:rsidRPr="00A24301">
        <w:rPr>
          <w:rFonts w:ascii="Calibri" w:hAnsi="Calibri" w:cs="Calibri"/>
          <w:color w:val="000000"/>
        </w:rPr>
        <w:t xml:space="preserve">, </w:t>
      </w:r>
      <w:r w:rsidR="0068296A" w:rsidRPr="00A24301">
        <w:rPr>
          <w:rFonts w:ascii="Calibri" w:hAnsi="Calibri" w:cs="Calibri"/>
          <w:color w:val="000000"/>
        </w:rPr>
        <w:t>January 2013</w:t>
      </w:r>
      <w:r w:rsidR="004051FA" w:rsidRPr="00A24301">
        <w:rPr>
          <w:rFonts w:ascii="Calibri" w:hAnsi="Calibri" w:cs="Calibri"/>
          <w:color w:val="000000"/>
        </w:rPr>
        <w:t xml:space="preserve"> (these guidelines are reviewed and updated every 10 years by the APA)</w:t>
      </w:r>
      <w:r w:rsidR="00BF4804" w:rsidRPr="00A24301">
        <w:rPr>
          <w:rFonts w:ascii="Calibri" w:hAnsi="Calibri" w:cs="Calibri"/>
          <w:color w:val="000000"/>
        </w:rPr>
        <w:t xml:space="preserve">. and </w:t>
      </w:r>
      <w:r w:rsidR="00BF4804" w:rsidRPr="00A24301">
        <w:rPr>
          <w:rFonts w:ascii="Calibri" w:hAnsi="Calibri" w:cs="Calibri"/>
          <w:i/>
          <w:iCs/>
          <w:color w:val="000000"/>
        </w:rPr>
        <w:t>Education and Training Guidelines for Forensic Psychology</w:t>
      </w:r>
      <w:r w:rsidR="00BF4804" w:rsidRPr="00A24301">
        <w:rPr>
          <w:rFonts w:ascii="Calibri" w:hAnsi="Calibri" w:cs="Calibri"/>
          <w:color w:val="000000"/>
        </w:rPr>
        <w:t>, November 19, 2007, Forensic Specialty Council at page 12.</w:t>
      </w:r>
    </w:p>
  </w:footnote>
  <w:footnote w:id="100">
    <w:p w14:paraId="7C4A1E53" w14:textId="03937353" w:rsidR="008E71A4" w:rsidRDefault="008E71A4">
      <w:pPr>
        <w:pStyle w:val="FootnoteText"/>
      </w:pPr>
      <w:r>
        <w:rPr>
          <w:rStyle w:val="FootnoteReference"/>
        </w:rPr>
        <w:footnoteRef/>
      </w:r>
      <w:r>
        <w:t xml:space="preserve"> </w:t>
      </w:r>
      <w:r w:rsidRPr="00FC116B">
        <w:rPr>
          <w:i/>
          <w:iCs/>
        </w:rPr>
        <w:t>The Children’s Aid Society, Region of Halton</w:t>
      </w:r>
      <w:r w:rsidR="008A7D6A" w:rsidRPr="00FC116B">
        <w:rPr>
          <w:i/>
          <w:iCs/>
        </w:rPr>
        <w:t xml:space="preserve"> and A.W. and G.K.W</w:t>
      </w:r>
      <w:r w:rsidR="008A7D6A">
        <w:t>.</w:t>
      </w:r>
      <w:r w:rsidR="00FC116B">
        <w:t xml:space="preserve"> 2016 ONCJ 358.</w:t>
      </w:r>
    </w:p>
  </w:footnote>
  <w:footnote w:id="101">
    <w:p w14:paraId="45835F58" w14:textId="6B861995" w:rsidR="00C53E52" w:rsidRDefault="00C53E52">
      <w:pPr>
        <w:pStyle w:val="FootnoteText"/>
      </w:pPr>
      <w:r>
        <w:rPr>
          <w:rStyle w:val="FootnoteReference"/>
        </w:rPr>
        <w:footnoteRef/>
      </w:r>
      <w:r>
        <w:t xml:space="preserve"> Ibid at para 238.</w:t>
      </w:r>
    </w:p>
  </w:footnote>
  <w:footnote w:id="102">
    <w:p w14:paraId="3CF9546F" w14:textId="010C6FD2" w:rsidR="00086EA3" w:rsidRDefault="00086EA3">
      <w:pPr>
        <w:pStyle w:val="FootnoteText"/>
      </w:pPr>
      <w:r>
        <w:rPr>
          <w:rStyle w:val="FootnoteReference"/>
        </w:rPr>
        <w:footnoteRef/>
      </w:r>
      <w:r>
        <w:t xml:space="preserve"> </w:t>
      </w:r>
      <w:r w:rsidR="005D0F2F">
        <w:t xml:space="preserve">Ibid at paras </w:t>
      </w:r>
    </w:p>
  </w:footnote>
  <w:footnote w:id="103">
    <w:p w14:paraId="20D12AD6" w14:textId="315AD56D" w:rsidR="00FD68A5" w:rsidRDefault="00FD68A5">
      <w:pPr>
        <w:pStyle w:val="FootnoteText"/>
      </w:pPr>
      <w:r>
        <w:rPr>
          <w:rStyle w:val="FootnoteReference"/>
        </w:rPr>
        <w:footnoteRef/>
      </w:r>
      <w:r>
        <w:t xml:space="preserve"> Ibid at para 166.</w:t>
      </w:r>
    </w:p>
  </w:footnote>
  <w:footnote w:id="104">
    <w:p w14:paraId="0E071498" w14:textId="4C45E136" w:rsidR="001C47CC" w:rsidRDefault="001C47CC">
      <w:pPr>
        <w:pStyle w:val="FootnoteText"/>
      </w:pPr>
      <w:r>
        <w:rPr>
          <w:rStyle w:val="FootnoteReference"/>
        </w:rPr>
        <w:footnoteRef/>
      </w:r>
      <w:r>
        <w:t xml:space="preserve"> Ibid at para 268.</w:t>
      </w:r>
    </w:p>
  </w:footnote>
  <w:footnote w:id="105">
    <w:p w14:paraId="372E2996" w14:textId="65675342" w:rsidR="00B43C5C" w:rsidRPr="00B43C5C" w:rsidRDefault="00B43C5C">
      <w:pPr>
        <w:pStyle w:val="FootnoteText"/>
        <w:rPr>
          <w:rFonts w:cstheme="minorHAnsi"/>
        </w:rPr>
      </w:pPr>
      <w:r>
        <w:rPr>
          <w:rStyle w:val="FootnoteReference"/>
        </w:rPr>
        <w:footnoteRef/>
      </w:r>
      <w:r>
        <w:t xml:space="preserve"> </w:t>
      </w:r>
      <w:r w:rsidRPr="00B73B18">
        <w:rPr>
          <w:rFonts w:cstheme="minorHAnsi"/>
          <w:i/>
          <w:iCs/>
          <w:color w:val="000000"/>
        </w:rPr>
        <w:t>M. v. F</w:t>
      </w:r>
      <w:r>
        <w:rPr>
          <w:rFonts w:cstheme="minorHAnsi"/>
          <w:color w:val="000000"/>
        </w:rPr>
        <w:t>. 2015 ONCA 277.</w:t>
      </w:r>
    </w:p>
  </w:footnote>
  <w:footnote w:id="106">
    <w:p w14:paraId="72BA4CA1" w14:textId="1790B86C" w:rsidR="00571084" w:rsidRDefault="00571084">
      <w:pPr>
        <w:pStyle w:val="FootnoteText"/>
      </w:pPr>
      <w:r>
        <w:rPr>
          <w:rStyle w:val="FootnoteReference"/>
        </w:rPr>
        <w:footnoteRef/>
      </w:r>
      <w:r>
        <w:t xml:space="preserve"> Ibid at para 33.</w:t>
      </w:r>
    </w:p>
  </w:footnote>
  <w:footnote w:id="107">
    <w:p w14:paraId="01903243" w14:textId="3518696D" w:rsidR="00001070" w:rsidRDefault="00001070">
      <w:pPr>
        <w:pStyle w:val="FootnoteText"/>
      </w:pPr>
      <w:r>
        <w:rPr>
          <w:rStyle w:val="FootnoteReference"/>
        </w:rPr>
        <w:footnoteRef/>
      </w:r>
      <w:r>
        <w:t xml:space="preserve"> </w:t>
      </w:r>
      <w:r w:rsidR="003E4478">
        <w:t>Supra, CAST v. A.L. at paras 113-117.</w:t>
      </w:r>
    </w:p>
  </w:footnote>
  <w:footnote w:id="108">
    <w:p w14:paraId="3FE8E611" w14:textId="3FF1A69D" w:rsidR="009D69FA" w:rsidRDefault="009D69FA">
      <w:pPr>
        <w:pStyle w:val="FootnoteText"/>
      </w:pPr>
      <w:r>
        <w:rPr>
          <w:rStyle w:val="FootnoteReference"/>
        </w:rPr>
        <w:footnoteRef/>
      </w:r>
      <w:r>
        <w:t xml:space="preserve"> These comments are not meant to suggest that no valid concerns were raised by this critique.</w:t>
      </w:r>
    </w:p>
  </w:footnote>
  <w:footnote w:id="109">
    <w:p w14:paraId="05536111" w14:textId="155B6547" w:rsidR="002F1699" w:rsidRDefault="002F1699">
      <w:pPr>
        <w:pStyle w:val="FootnoteText"/>
      </w:pPr>
      <w:r>
        <w:rPr>
          <w:rStyle w:val="FootnoteReference"/>
        </w:rPr>
        <w:footnoteRef/>
      </w:r>
      <w:r>
        <w:t xml:space="preserve"> </w:t>
      </w:r>
      <w:r w:rsidR="00A07CD5" w:rsidRPr="00A07CD5">
        <w:rPr>
          <w:i/>
          <w:iCs/>
        </w:rPr>
        <w:t>Children’s Aid Society of the County of Simcoe and B.D. and S.S</w:t>
      </w:r>
      <w:r w:rsidR="00A07CD5">
        <w:t xml:space="preserve">. </w:t>
      </w:r>
      <w:r w:rsidR="00B73987">
        <w:t>2013 ONSC 1610.</w:t>
      </w:r>
    </w:p>
  </w:footnote>
  <w:footnote w:id="110">
    <w:p w14:paraId="7E8720BB" w14:textId="786D2E45" w:rsidR="001E282D" w:rsidRDefault="001E282D">
      <w:pPr>
        <w:pStyle w:val="FootnoteText"/>
      </w:pPr>
      <w:r>
        <w:rPr>
          <w:rStyle w:val="FootnoteReference"/>
        </w:rPr>
        <w:footnoteRef/>
      </w:r>
      <w:r>
        <w:t xml:space="preserve"> </w:t>
      </w:r>
      <w:proofErr w:type="spellStart"/>
      <w:r w:rsidR="00CD2E22" w:rsidRPr="001003F8">
        <w:rPr>
          <w:i/>
          <w:iCs/>
        </w:rPr>
        <w:t>Sordi</w:t>
      </w:r>
      <w:proofErr w:type="spellEnd"/>
      <w:r w:rsidR="00CD2E22" w:rsidRPr="001003F8">
        <w:rPr>
          <w:i/>
          <w:iCs/>
        </w:rPr>
        <w:t xml:space="preserve"> v. </w:t>
      </w:r>
      <w:proofErr w:type="spellStart"/>
      <w:r w:rsidR="00CD2E22" w:rsidRPr="001003F8">
        <w:rPr>
          <w:i/>
          <w:iCs/>
        </w:rPr>
        <w:t>Sordi</w:t>
      </w:r>
      <w:proofErr w:type="spellEnd"/>
      <w:r w:rsidR="00CD2E22">
        <w:t xml:space="preserve"> </w:t>
      </w:r>
      <w:r w:rsidR="00237A13">
        <w:t xml:space="preserve">2011 ONCA </w:t>
      </w:r>
      <w:r w:rsidR="005278CD">
        <w:t>665</w:t>
      </w:r>
    </w:p>
  </w:footnote>
  <w:footnote w:id="111">
    <w:p w14:paraId="7CF4ED95" w14:textId="10495E18" w:rsidR="000412C6" w:rsidRDefault="000412C6">
      <w:pPr>
        <w:pStyle w:val="FootnoteText"/>
      </w:pPr>
      <w:r>
        <w:rPr>
          <w:rStyle w:val="FootnoteReference"/>
        </w:rPr>
        <w:footnoteRef/>
      </w:r>
      <w:r>
        <w:t xml:space="preserve"> Ibid at para 14.</w:t>
      </w:r>
    </w:p>
  </w:footnote>
  <w:footnote w:id="112">
    <w:p w14:paraId="573B24D4" w14:textId="6EC9D42E" w:rsidR="006052CB" w:rsidRDefault="006052CB">
      <w:pPr>
        <w:pStyle w:val="FootnoteText"/>
      </w:pPr>
      <w:r>
        <w:rPr>
          <w:rStyle w:val="FootnoteReference"/>
        </w:rPr>
        <w:footnoteRef/>
      </w:r>
      <w:r>
        <w:t xml:space="preserve"> </w:t>
      </w:r>
      <w:r w:rsidR="008064A6">
        <w:t xml:space="preserve">The history regarding </w:t>
      </w:r>
      <w:r w:rsidR="00B37E23">
        <w:t xml:space="preserve">the child “O” is set out in </w:t>
      </w:r>
      <w:r w:rsidR="00B37E23" w:rsidRPr="00BB7004">
        <w:rPr>
          <w:i/>
          <w:iCs/>
        </w:rPr>
        <w:t>Children’s Aid Society of the County of Simcoe v. BD et al</w:t>
      </w:r>
      <w:r w:rsidR="00B37E23">
        <w:t>, 2015 ONSC 2402</w:t>
      </w:r>
      <w:r w:rsidR="00A937E3">
        <w:t xml:space="preserve"> at para 9(f)-(h).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621"/>
    <w:multiLevelType w:val="hybridMultilevel"/>
    <w:tmpl w:val="F7FE6ED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6182B"/>
    <w:multiLevelType w:val="hybridMultilevel"/>
    <w:tmpl w:val="7E4E12A6"/>
    <w:lvl w:ilvl="0" w:tplc="91C6EAA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927757"/>
    <w:multiLevelType w:val="hybridMultilevel"/>
    <w:tmpl w:val="4EFC9D2A"/>
    <w:lvl w:ilvl="0" w:tplc="1E36786A">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8023A20"/>
    <w:multiLevelType w:val="hybridMultilevel"/>
    <w:tmpl w:val="2D3CDD3A"/>
    <w:lvl w:ilvl="0" w:tplc="A4F01204">
      <w:start w:val="1"/>
      <w:numFmt w:val="lowerLetter"/>
      <w:lvlText w:val="%1."/>
      <w:lvlJc w:val="left"/>
      <w:pPr>
        <w:ind w:left="1080" w:hanging="360"/>
      </w:pPr>
      <w:rPr>
        <w:rFonts w:ascii="Arial" w:eastAsiaTheme="minorHAnsi"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F8F7270"/>
    <w:multiLevelType w:val="hybridMultilevel"/>
    <w:tmpl w:val="5F0A7FCE"/>
    <w:lvl w:ilvl="0" w:tplc="BED0B5A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933871"/>
    <w:multiLevelType w:val="hybridMultilevel"/>
    <w:tmpl w:val="F2B6B4D4"/>
    <w:lvl w:ilvl="0" w:tplc="1E36786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E02882"/>
    <w:multiLevelType w:val="hybridMultilevel"/>
    <w:tmpl w:val="E0DCE76C"/>
    <w:lvl w:ilvl="0" w:tplc="A8B2449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D03189"/>
    <w:multiLevelType w:val="hybridMultilevel"/>
    <w:tmpl w:val="F3A4653C"/>
    <w:lvl w:ilvl="0" w:tplc="BD1C63D8">
      <w:start w:val="1"/>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8" w15:restartNumberingAfterBreak="0">
    <w:nsid w:val="439B6365"/>
    <w:multiLevelType w:val="hybridMultilevel"/>
    <w:tmpl w:val="F7FE6EDA"/>
    <w:lvl w:ilvl="0" w:tplc="1E36786A">
      <w:start w:val="1"/>
      <w:numFmt w:val="lowerLetter"/>
      <w:lvlText w:val="%1."/>
      <w:lvlJc w:val="left"/>
      <w:pPr>
        <w:ind w:left="720" w:hanging="360"/>
      </w:pPr>
      <w:rPr>
        <w:rFonts w:hint="default"/>
      </w:rPr>
    </w:lvl>
    <w:lvl w:ilvl="1" w:tplc="9CF4D20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5E80EF4"/>
    <w:multiLevelType w:val="hybridMultilevel"/>
    <w:tmpl w:val="F9F4C420"/>
    <w:lvl w:ilvl="0" w:tplc="A118A1F6">
      <w:start w:val="1"/>
      <w:numFmt w:val="lowerLetter"/>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805B99"/>
    <w:multiLevelType w:val="hybridMultilevel"/>
    <w:tmpl w:val="8B24885C"/>
    <w:lvl w:ilvl="0" w:tplc="1E36786A">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0B05F2"/>
    <w:multiLevelType w:val="hybridMultilevel"/>
    <w:tmpl w:val="9A762A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4C96D13"/>
    <w:multiLevelType w:val="hybridMultilevel"/>
    <w:tmpl w:val="72D84840"/>
    <w:lvl w:ilvl="0" w:tplc="1E36786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5C915E56"/>
    <w:multiLevelType w:val="hybridMultilevel"/>
    <w:tmpl w:val="A424790E"/>
    <w:lvl w:ilvl="0" w:tplc="D1D0C0A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7223DF9"/>
    <w:multiLevelType w:val="hybridMultilevel"/>
    <w:tmpl w:val="C0087E1C"/>
    <w:lvl w:ilvl="0" w:tplc="C69E2EFC">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5" w15:restartNumberingAfterBreak="0">
    <w:nsid w:val="6B057DB5"/>
    <w:multiLevelType w:val="hybridMultilevel"/>
    <w:tmpl w:val="1000250E"/>
    <w:lvl w:ilvl="0" w:tplc="38125C86">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766D0444"/>
    <w:multiLevelType w:val="hybridMultilevel"/>
    <w:tmpl w:val="6942A8C8"/>
    <w:lvl w:ilvl="0" w:tplc="B902F4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9515D4F"/>
    <w:multiLevelType w:val="hybridMultilevel"/>
    <w:tmpl w:val="DEAAE0FA"/>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A770870"/>
    <w:multiLevelType w:val="hybridMultilevel"/>
    <w:tmpl w:val="4C70C640"/>
    <w:lvl w:ilvl="0" w:tplc="422608B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AE45A71"/>
    <w:multiLevelType w:val="hybridMultilevel"/>
    <w:tmpl w:val="39F4C664"/>
    <w:lvl w:ilvl="0" w:tplc="E636324E">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0" w15:restartNumberingAfterBreak="0">
    <w:nsid w:val="7C2C02CC"/>
    <w:multiLevelType w:val="hybridMultilevel"/>
    <w:tmpl w:val="E20445EC"/>
    <w:lvl w:ilvl="0" w:tplc="10090013">
      <w:start w:val="1"/>
      <w:numFmt w:val="upperRoman"/>
      <w:lvlText w:val="%1."/>
      <w:lvlJc w:val="right"/>
      <w:pPr>
        <w:ind w:left="1506" w:hanging="360"/>
      </w:pPr>
    </w:lvl>
    <w:lvl w:ilvl="1" w:tplc="10090019" w:tentative="1">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21" w15:restartNumberingAfterBreak="0">
    <w:nsid w:val="7C5D61C9"/>
    <w:multiLevelType w:val="hybridMultilevel"/>
    <w:tmpl w:val="B7780D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5605943">
    <w:abstractNumId w:val="13"/>
  </w:num>
  <w:num w:numId="2" w16cid:durableId="276376027">
    <w:abstractNumId w:val="4"/>
  </w:num>
  <w:num w:numId="3" w16cid:durableId="2019889852">
    <w:abstractNumId w:val="16"/>
  </w:num>
  <w:num w:numId="4" w16cid:durableId="314647309">
    <w:abstractNumId w:val="9"/>
  </w:num>
  <w:num w:numId="5" w16cid:durableId="1082723587">
    <w:abstractNumId w:val="3"/>
  </w:num>
  <w:num w:numId="6" w16cid:durableId="719061668">
    <w:abstractNumId w:val="8"/>
  </w:num>
  <w:num w:numId="7" w16cid:durableId="809591946">
    <w:abstractNumId w:val="1"/>
  </w:num>
  <w:num w:numId="8" w16cid:durableId="764885314">
    <w:abstractNumId w:val="6"/>
  </w:num>
  <w:num w:numId="9" w16cid:durableId="18822001">
    <w:abstractNumId w:val="18"/>
  </w:num>
  <w:num w:numId="10" w16cid:durableId="84542433">
    <w:abstractNumId w:val="19"/>
  </w:num>
  <w:num w:numId="11" w16cid:durableId="496115592">
    <w:abstractNumId w:val="7"/>
  </w:num>
  <w:num w:numId="12" w16cid:durableId="1926911747">
    <w:abstractNumId w:val="14"/>
  </w:num>
  <w:num w:numId="13" w16cid:durableId="2019380005">
    <w:abstractNumId w:val="15"/>
  </w:num>
  <w:num w:numId="14" w16cid:durableId="375665483">
    <w:abstractNumId w:val="20"/>
  </w:num>
  <w:num w:numId="15" w16cid:durableId="1562212133">
    <w:abstractNumId w:val="11"/>
  </w:num>
  <w:num w:numId="16" w16cid:durableId="740443967">
    <w:abstractNumId w:val="17"/>
  </w:num>
  <w:num w:numId="17" w16cid:durableId="594443571">
    <w:abstractNumId w:val="12"/>
  </w:num>
  <w:num w:numId="18" w16cid:durableId="2025477560">
    <w:abstractNumId w:val="10"/>
  </w:num>
  <w:num w:numId="19" w16cid:durableId="745689293">
    <w:abstractNumId w:val="2"/>
  </w:num>
  <w:num w:numId="20" w16cid:durableId="1849363999">
    <w:abstractNumId w:val="0"/>
  </w:num>
  <w:num w:numId="21" w16cid:durableId="1746758460">
    <w:abstractNumId w:val="21"/>
  </w:num>
  <w:num w:numId="22" w16cid:durableId="2121337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FF"/>
    <w:rsid w:val="000000CD"/>
    <w:rsid w:val="000009AD"/>
    <w:rsid w:val="00001070"/>
    <w:rsid w:val="00001468"/>
    <w:rsid w:val="000027B3"/>
    <w:rsid w:val="000042CC"/>
    <w:rsid w:val="0000534E"/>
    <w:rsid w:val="0000617E"/>
    <w:rsid w:val="00006F6A"/>
    <w:rsid w:val="00011077"/>
    <w:rsid w:val="000114FC"/>
    <w:rsid w:val="000115B4"/>
    <w:rsid w:val="00011D86"/>
    <w:rsid w:val="00012938"/>
    <w:rsid w:val="00012FE9"/>
    <w:rsid w:val="0001315E"/>
    <w:rsid w:val="000133F9"/>
    <w:rsid w:val="000156A4"/>
    <w:rsid w:val="00015814"/>
    <w:rsid w:val="00016DFE"/>
    <w:rsid w:val="0001718D"/>
    <w:rsid w:val="00017657"/>
    <w:rsid w:val="000177AC"/>
    <w:rsid w:val="00017A6E"/>
    <w:rsid w:val="00020DAC"/>
    <w:rsid w:val="00021220"/>
    <w:rsid w:val="00021B1B"/>
    <w:rsid w:val="00021F83"/>
    <w:rsid w:val="00022492"/>
    <w:rsid w:val="00023204"/>
    <w:rsid w:val="00024365"/>
    <w:rsid w:val="0002685E"/>
    <w:rsid w:val="00027476"/>
    <w:rsid w:val="00027734"/>
    <w:rsid w:val="00030C40"/>
    <w:rsid w:val="00030D27"/>
    <w:rsid w:val="00030E35"/>
    <w:rsid w:val="00030F9D"/>
    <w:rsid w:val="00031B87"/>
    <w:rsid w:val="000328F1"/>
    <w:rsid w:val="00032942"/>
    <w:rsid w:val="00032E14"/>
    <w:rsid w:val="00032F96"/>
    <w:rsid w:val="00033617"/>
    <w:rsid w:val="00033E48"/>
    <w:rsid w:val="000344D7"/>
    <w:rsid w:val="000345C9"/>
    <w:rsid w:val="00034762"/>
    <w:rsid w:val="00035937"/>
    <w:rsid w:val="000365C5"/>
    <w:rsid w:val="00037728"/>
    <w:rsid w:val="0003775F"/>
    <w:rsid w:val="00037831"/>
    <w:rsid w:val="00037D21"/>
    <w:rsid w:val="00037DB0"/>
    <w:rsid w:val="000406EA"/>
    <w:rsid w:val="000412C6"/>
    <w:rsid w:val="00041B3F"/>
    <w:rsid w:val="00041DC6"/>
    <w:rsid w:val="000427B0"/>
    <w:rsid w:val="00043559"/>
    <w:rsid w:val="00044436"/>
    <w:rsid w:val="00044796"/>
    <w:rsid w:val="00044C6C"/>
    <w:rsid w:val="00044F9B"/>
    <w:rsid w:val="00045A26"/>
    <w:rsid w:val="00046BA0"/>
    <w:rsid w:val="00047003"/>
    <w:rsid w:val="00047782"/>
    <w:rsid w:val="00047F86"/>
    <w:rsid w:val="00050E0B"/>
    <w:rsid w:val="00051EA4"/>
    <w:rsid w:val="00052B96"/>
    <w:rsid w:val="0005378B"/>
    <w:rsid w:val="00053F93"/>
    <w:rsid w:val="000543E6"/>
    <w:rsid w:val="00055691"/>
    <w:rsid w:val="00055A3C"/>
    <w:rsid w:val="00055AB1"/>
    <w:rsid w:val="000562F0"/>
    <w:rsid w:val="00056AC5"/>
    <w:rsid w:val="00056D33"/>
    <w:rsid w:val="00057F0C"/>
    <w:rsid w:val="00060EA4"/>
    <w:rsid w:val="00060F35"/>
    <w:rsid w:val="000624C0"/>
    <w:rsid w:val="00063309"/>
    <w:rsid w:val="00064105"/>
    <w:rsid w:val="0006435C"/>
    <w:rsid w:val="000647CD"/>
    <w:rsid w:val="00064F49"/>
    <w:rsid w:val="000658BE"/>
    <w:rsid w:val="00066716"/>
    <w:rsid w:val="00066853"/>
    <w:rsid w:val="00066A4A"/>
    <w:rsid w:val="00066BB4"/>
    <w:rsid w:val="0007014E"/>
    <w:rsid w:val="000721A9"/>
    <w:rsid w:val="00072538"/>
    <w:rsid w:val="00073C04"/>
    <w:rsid w:val="000743AD"/>
    <w:rsid w:val="0007588D"/>
    <w:rsid w:val="00076167"/>
    <w:rsid w:val="0007642F"/>
    <w:rsid w:val="00076759"/>
    <w:rsid w:val="00076EDD"/>
    <w:rsid w:val="000802EE"/>
    <w:rsid w:val="00080809"/>
    <w:rsid w:val="00080EE5"/>
    <w:rsid w:val="0008165F"/>
    <w:rsid w:val="00081803"/>
    <w:rsid w:val="00082BDB"/>
    <w:rsid w:val="00084D57"/>
    <w:rsid w:val="00084D93"/>
    <w:rsid w:val="00086604"/>
    <w:rsid w:val="00086B9A"/>
    <w:rsid w:val="00086EA3"/>
    <w:rsid w:val="00087041"/>
    <w:rsid w:val="00090798"/>
    <w:rsid w:val="00091290"/>
    <w:rsid w:val="000915E2"/>
    <w:rsid w:val="00091E85"/>
    <w:rsid w:val="00092ACD"/>
    <w:rsid w:val="00094215"/>
    <w:rsid w:val="00094B89"/>
    <w:rsid w:val="0009535E"/>
    <w:rsid w:val="000954E2"/>
    <w:rsid w:val="00095609"/>
    <w:rsid w:val="000958C2"/>
    <w:rsid w:val="00095BAB"/>
    <w:rsid w:val="00096FFA"/>
    <w:rsid w:val="000A023A"/>
    <w:rsid w:val="000A0F30"/>
    <w:rsid w:val="000A1EA5"/>
    <w:rsid w:val="000A2331"/>
    <w:rsid w:val="000A2B60"/>
    <w:rsid w:val="000A3196"/>
    <w:rsid w:val="000A37AB"/>
    <w:rsid w:val="000A3E6C"/>
    <w:rsid w:val="000A57AB"/>
    <w:rsid w:val="000A6093"/>
    <w:rsid w:val="000A664B"/>
    <w:rsid w:val="000B0234"/>
    <w:rsid w:val="000B0F93"/>
    <w:rsid w:val="000B1025"/>
    <w:rsid w:val="000B20F6"/>
    <w:rsid w:val="000B3AB3"/>
    <w:rsid w:val="000B3EED"/>
    <w:rsid w:val="000B3FA5"/>
    <w:rsid w:val="000B4A5B"/>
    <w:rsid w:val="000B59B5"/>
    <w:rsid w:val="000B5E1C"/>
    <w:rsid w:val="000C114D"/>
    <w:rsid w:val="000C1ADB"/>
    <w:rsid w:val="000C1D9F"/>
    <w:rsid w:val="000C216F"/>
    <w:rsid w:val="000C2B6C"/>
    <w:rsid w:val="000C2E7A"/>
    <w:rsid w:val="000C573C"/>
    <w:rsid w:val="000C6782"/>
    <w:rsid w:val="000C6A33"/>
    <w:rsid w:val="000C6D50"/>
    <w:rsid w:val="000C75E7"/>
    <w:rsid w:val="000D01A5"/>
    <w:rsid w:val="000D03F6"/>
    <w:rsid w:val="000D0C4B"/>
    <w:rsid w:val="000D226D"/>
    <w:rsid w:val="000D289B"/>
    <w:rsid w:val="000D2B7B"/>
    <w:rsid w:val="000D33DC"/>
    <w:rsid w:val="000D3AE9"/>
    <w:rsid w:val="000D3BA0"/>
    <w:rsid w:val="000D3D3F"/>
    <w:rsid w:val="000D3D94"/>
    <w:rsid w:val="000D3EA8"/>
    <w:rsid w:val="000D456B"/>
    <w:rsid w:val="000D6232"/>
    <w:rsid w:val="000D6839"/>
    <w:rsid w:val="000D6B3D"/>
    <w:rsid w:val="000E0A92"/>
    <w:rsid w:val="000E0D00"/>
    <w:rsid w:val="000E1CBB"/>
    <w:rsid w:val="000E1E1E"/>
    <w:rsid w:val="000E26A4"/>
    <w:rsid w:val="000E2A1B"/>
    <w:rsid w:val="000E2C97"/>
    <w:rsid w:val="000E407E"/>
    <w:rsid w:val="000E4798"/>
    <w:rsid w:val="000E51D7"/>
    <w:rsid w:val="000E5C62"/>
    <w:rsid w:val="000E6C9B"/>
    <w:rsid w:val="000E7392"/>
    <w:rsid w:val="000E73AB"/>
    <w:rsid w:val="000E774B"/>
    <w:rsid w:val="000E7CFB"/>
    <w:rsid w:val="000F0465"/>
    <w:rsid w:val="000F1268"/>
    <w:rsid w:val="000F210C"/>
    <w:rsid w:val="000F26C7"/>
    <w:rsid w:val="000F4973"/>
    <w:rsid w:val="000F6183"/>
    <w:rsid w:val="000F6CD0"/>
    <w:rsid w:val="000F7709"/>
    <w:rsid w:val="000F7C8B"/>
    <w:rsid w:val="001003F8"/>
    <w:rsid w:val="00100DB3"/>
    <w:rsid w:val="00101131"/>
    <w:rsid w:val="001026D5"/>
    <w:rsid w:val="001028B1"/>
    <w:rsid w:val="00102A89"/>
    <w:rsid w:val="00104C27"/>
    <w:rsid w:val="001050F4"/>
    <w:rsid w:val="0010650C"/>
    <w:rsid w:val="00107448"/>
    <w:rsid w:val="00107F8B"/>
    <w:rsid w:val="00110D78"/>
    <w:rsid w:val="00111D56"/>
    <w:rsid w:val="00111E13"/>
    <w:rsid w:val="00112FF0"/>
    <w:rsid w:val="00113251"/>
    <w:rsid w:val="00113423"/>
    <w:rsid w:val="00114112"/>
    <w:rsid w:val="001150F1"/>
    <w:rsid w:val="001155D9"/>
    <w:rsid w:val="00115637"/>
    <w:rsid w:val="00115C56"/>
    <w:rsid w:val="00115E21"/>
    <w:rsid w:val="00116528"/>
    <w:rsid w:val="0011750A"/>
    <w:rsid w:val="001200FA"/>
    <w:rsid w:val="00121761"/>
    <w:rsid w:val="00121F59"/>
    <w:rsid w:val="00122160"/>
    <w:rsid w:val="00123DFA"/>
    <w:rsid w:val="00124673"/>
    <w:rsid w:val="00124692"/>
    <w:rsid w:val="00124888"/>
    <w:rsid w:val="00124B96"/>
    <w:rsid w:val="00126102"/>
    <w:rsid w:val="001273E4"/>
    <w:rsid w:val="00127864"/>
    <w:rsid w:val="001324F9"/>
    <w:rsid w:val="001327C8"/>
    <w:rsid w:val="00132E0B"/>
    <w:rsid w:val="00133B08"/>
    <w:rsid w:val="00133D46"/>
    <w:rsid w:val="00134C21"/>
    <w:rsid w:val="001355F9"/>
    <w:rsid w:val="0013592E"/>
    <w:rsid w:val="00135B1E"/>
    <w:rsid w:val="00135BE1"/>
    <w:rsid w:val="00135CEB"/>
    <w:rsid w:val="00135EFF"/>
    <w:rsid w:val="00136725"/>
    <w:rsid w:val="0013737A"/>
    <w:rsid w:val="0013762F"/>
    <w:rsid w:val="00137BB0"/>
    <w:rsid w:val="00141006"/>
    <w:rsid w:val="00142A22"/>
    <w:rsid w:val="00145185"/>
    <w:rsid w:val="00145F18"/>
    <w:rsid w:val="001467DB"/>
    <w:rsid w:val="00146A76"/>
    <w:rsid w:val="00147572"/>
    <w:rsid w:val="00150083"/>
    <w:rsid w:val="00150B1C"/>
    <w:rsid w:val="00151761"/>
    <w:rsid w:val="001521AB"/>
    <w:rsid w:val="00152509"/>
    <w:rsid w:val="001535B6"/>
    <w:rsid w:val="0015385F"/>
    <w:rsid w:val="00154B3F"/>
    <w:rsid w:val="00154FCA"/>
    <w:rsid w:val="00155D43"/>
    <w:rsid w:val="00155D86"/>
    <w:rsid w:val="001560D6"/>
    <w:rsid w:val="001577D0"/>
    <w:rsid w:val="0016041A"/>
    <w:rsid w:val="001613C2"/>
    <w:rsid w:val="0016196C"/>
    <w:rsid w:val="00162722"/>
    <w:rsid w:val="001629CD"/>
    <w:rsid w:val="00162FA0"/>
    <w:rsid w:val="001639CB"/>
    <w:rsid w:val="00164136"/>
    <w:rsid w:val="00164348"/>
    <w:rsid w:val="001648C3"/>
    <w:rsid w:val="00165319"/>
    <w:rsid w:val="001659C7"/>
    <w:rsid w:val="0016612A"/>
    <w:rsid w:val="00166A3C"/>
    <w:rsid w:val="00171969"/>
    <w:rsid w:val="00171A5B"/>
    <w:rsid w:val="00171CEA"/>
    <w:rsid w:val="00174E79"/>
    <w:rsid w:val="0017635A"/>
    <w:rsid w:val="0017683E"/>
    <w:rsid w:val="00177978"/>
    <w:rsid w:val="00177B09"/>
    <w:rsid w:val="00177DA8"/>
    <w:rsid w:val="001805A7"/>
    <w:rsid w:val="00180816"/>
    <w:rsid w:val="00180F5D"/>
    <w:rsid w:val="00180F8A"/>
    <w:rsid w:val="001810B3"/>
    <w:rsid w:val="001830E2"/>
    <w:rsid w:val="00183382"/>
    <w:rsid w:val="00185038"/>
    <w:rsid w:val="00186BCC"/>
    <w:rsid w:val="001878FF"/>
    <w:rsid w:val="00190CD5"/>
    <w:rsid w:val="00190E6E"/>
    <w:rsid w:val="0019125A"/>
    <w:rsid w:val="001929F7"/>
    <w:rsid w:val="00192EC6"/>
    <w:rsid w:val="00194198"/>
    <w:rsid w:val="001942E2"/>
    <w:rsid w:val="001946F7"/>
    <w:rsid w:val="00194FFA"/>
    <w:rsid w:val="001955C2"/>
    <w:rsid w:val="00197B0F"/>
    <w:rsid w:val="00197C00"/>
    <w:rsid w:val="00197D61"/>
    <w:rsid w:val="001A0355"/>
    <w:rsid w:val="001A0554"/>
    <w:rsid w:val="001A0563"/>
    <w:rsid w:val="001A10B6"/>
    <w:rsid w:val="001A12EE"/>
    <w:rsid w:val="001A16DC"/>
    <w:rsid w:val="001A2FF6"/>
    <w:rsid w:val="001A34D8"/>
    <w:rsid w:val="001A42CA"/>
    <w:rsid w:val="001A474F"/>
    <w:rsid w:val="001A4A7A"/>
    <w:rsid w:val="001A51EB"/>
    <w:rsid w:val="001A551C"/>
    <w:rsid w:val="001A590C"/>
    <w:rsid w:val="001A5F87"/>
    <w:rsid w:val="001A7FD0"/>
    <w:rsid w:val="001B2103"/>
    <w:rsid w:val="001B2EFA"/>
    <w:rsid w:val="001B3D3C"/>
    <w:rsid w:val="001B3E34"/>
    <w:rsid w:val="001B41F0"/>
    <w:rsid w:val="001B4A80"/>
    <w:rsid w:val="001B6564"/>
    <w:rsid w:val="001B6624"/>
    <w:rsid w:val="001B6823"/>
    <w:rsid w:val="001B6BC7"/>
    <w:rsid w:val="001B7DB6"/>
    <w:rsid w:val="001C1287"/>
    <w:rsid w:val="001C3450"/>
    <w:rsid w:val="001C47CC"/>
    <w:rsid w:val="001C4D9E"/>
    <w:rsid w:val="001C4EBF"/>
    <w:rsid w:val="001C6024"/>
    <w:rsid w:val="001C60F4"/>
    <w:rsid w:val="001C6DAF"/>
    <w:rsid w:val="001D0A57"/>
    <w:rsid w:val="001D0D09"/>
    <w:rsid w:val="001D2C72"/>
    <w:rsid w:val="001D3D24"/>
    <w:rsid w:val="001D4060"/>
    <w:rsid w:val="001D420C"/>
    <w:rsid w:val="001D4A8B"/>
    <w:rsid w:val="001D5491"/>
    <w:rsid w:val="001D5933"/>
    <w:rsid w:val="001D6231"/>
    <w:rsid w:val="001D66D4"/>
    <w:rsid w:val="001D7D68"/>
    <w:rsid w:val="001E11C5"/>
    <w:rsid w:val="001E1FC0"/>
    <w:rsid w:val="001E2061"/>
    <w:rsid w:val="001E2160"/>
    <w:rsid w:val="001E2467"/>
    <w:rsid w:val="001E282D"/>
    <w:rsid w:val="001E34EB"/>
    <w:rsid w:val="001E35FC"/>
    <w:rsid w:val="001E4B79"/>
    <w:rsid w:val="001E5B29"/>
    <w:rsid w:val="001E6B56"/>
    <w:rsid w:val="001E7C26"/>
    <w:rsid w:val="001F0B13"/>
    <w:rsid w:val="001F2338"/>
    <w:rsid w:val="001F2A39"/>
    <w:rsid w:val="001F3A29"/>
    <w:rsid w:val="001F3BAB"/>
    <w:rsid w:val="001F5A05"/>
    <w:rsid w:val="001F73EA"/>
    <w:rsid w:val="001F777C"/>
    <w:rsid w:val="001F7D01"/>
    <w:rsid w:val="001F7EAC"/>
    <w:rsid w:val="00201EFF"/>
    <w:rsid w:val="00202BA3"/>
    <w:rsid w:val="0020321C"/>
    <w:rsid w:val="0020331E"/>
    <w:rsid w:val="00203409"/>
    <w:rsid w:val="00204033"/>
    <w:rsid w:val="00204905"/>
    <w:rsid w:val="002049C4"/>
    <w:rsid w:val="00204B36"/>
    <w:rsid w:val="00204CE3"/>
    <w:rsid w:val="0020530D"/>
    <w:rsid w:val="00205414"/>
    <w:rsid w:val="002054AB"/>
    <w:rsid w:val="002062E1"/>
    <w:rsid w:val="00206454"/>
    <w:rsid w:val="00207E02"/>
    <w:rsid w:val="002107EE"/>
    <w:rsid w:val="00211E54"/>
    <w:rsid w:val="0021281D"/>
    <w:rsid w:val="00212A58"/>
    <w:rsid w:val="00212AF2"/>
    <w:rsid w:val="0021320A"/>
    <w:rsid w:val="002136FE"/>
    <w:rsid w:val="00214B25"/>
    <w:rsid w:val="00214E45"/>
    <w:rsid w:val="00217DC5"/>
    <w:rsid w:val="00221023"/>
    <w:rsid w:val="00223462"/>
    <w:rsid w:val="002247F1"/>
    <w:rsid w:val="002256EB"/>
    <w:rsid w:val="00225C9C"/>
    <w:rsid w:val="00226345"/>
    <w:rsid w:val="00226BC7"/>
    <w:rsid w:val="002308A0"/>
    <w:rsid w:val="00230F33"/>
    <w:rsid w:val="00231C6F"/>
    <w:rsid w:val="00232B27"/>
    <w:rsid w:val="00232F28"/>
    <w:rsid w:val="00233445"/>
    <w:rsid w:val="002336B6"/>
    <w:rsid w:val="002353CE"/>
    <w:rsid w:val="00236922"/>
    <w:rsid w:val="00237A13"/>
    <w:rsid w:val="00237D51"/>
    <w:rsid w:val="002401EA"/>
    <w:rsid w:val="0024047B"/>
    <w:rsid w:val="002406F3"/>
    <w:rsid w:val="00240AF2"/>
    <w:rsid w:val="00240FD1"/>
    <w:rsid w:val="002414F8"/>
    <w:rsid w:val="00241667"/>
    <w:rsid w:val="00241864"/>
    <w:rsid w:val="00242B32"/>
    <w:rsid w:val="00242EC7"/>
    <w:rsid w:val="00244144"/>
    <w:rsid w:val="00244685"/>
    <w:rsid w:val="0024499E"/>
    <w:rsid w:val="002452EE"/>
    <w:rsid w:val="00245308"/>
    <w:rsid w:val="00245C25"/>
    <w:rsid w:val="00245D58"/>
    <w:rsid w:val="00246119"/>
    <w:rsid w:val="002463FB"/>
    <w:rsid w:val="00247183"/>
    <w:rsid w:val="00247312"/>
    <w:rsid w:val="002478D1"/>
    <w:rsid w:val="00247D81"/>
    <w:rsid w:val="00252352"/>
    <w:rsid w:val="00252CBC"/>
    <w:rsid w:val="00253225"/>
    <w:rsid w:val="00253985"/>
    <w:rsid w:val="00253D22"/>
    <w:rsid w:val="0025492C"/>
    <w:rsid w:val="00254ADE"/>
    <w:rsid w:val="00254C2F"/>
    <w:rsid w:val="0025545B"/>
    <w:rsid w:val="00255CCB"/>
    <w:rsid w:val="00256567"/>
    <w:rsid w:val="00257406"/>
    <w:rsid w:val="002604E0"/>
    <w:rsid w:val="00260B09"/>
    <w:rsid w:val="00261F5B"/>
    <w:rsid w:val="00262650"/>
    <w:rsid w:val="00263B73"/>
    <w:rsid w:val="00265308"/>
    <w:rsid w:val="00265510"/>
    <w:rsid w:val="00265D50"/>
    <w:rsid w:val="002668CB"/>
    <w:rsid w:val="00267E5A"/>
    <w:rsid w:val="0027017A"/>
    <w:rsid w:val="00272763"/>
    <w:rsid w:val="00273BA2"/>
    <w:rsid w:val="00273F90"/>
    <w:rsid w:val="00274B1F"/>
    <w:rsid w:val="00275142"/>
    <w:rsid w:val="00276B0D"/>
    <w:rsid w:val="00276C3E"/>
    <w:rsid w:val="00277219"/>
    <w:rsid w:val="0027775F"/>
    <w:rsid w:val="00277D65"/>
    <w:rsid w:val="00277FC9"/>
    <w:rsid w:val="00280539"/>
    <w:rsid w:val="00280D3C"/>
    <w:rsid w:val="00283A3E"/>
    <w:rsid w:val="00284A34"/>
    <w:rsid w:val="002860F6"/>
    <w:rsid w:val="002862A3"/>
    <w:rsid w:val="002867A4"/>
    <w:rsid w:val="00286830"/>
    <w:rsid w:val="00286C5C"/>
    <w:rsid w:val="00287470"/>
    <w:rsid w:val="002875A2"/>
    <w:rsid w:val="002906DA"/>
    <w:rsid w:val="00290C56"/>
    <w:rsid w:val="00291034"/>
    <w:rsid w:val="00291076"/>
    <w:rsid w:val="00291388"/>
    <w:rsid w:val="00293350"/>
    <w:rsid w:val="00293B2A"/>
    <w:rsid w:val="00294084"/>
    <w:rsid w:val="00294161"/>
    <w:rsid w:val="00294F1D"/>
    <w:rsid w:val="002A1112"/>
    <w:rsid w:val="002A1F03"/>
    <w:rsid w:val="002A22BB"/>
    <w:rsid w:val="002A298F"/>
    <w:rsid w:val="002A2B21"/>
    <w:rsid w:val="002A32BA"/>
    <w:rsid w:val="002A3DCD"/>
    <w:rsid w:val="002A49BE"/>
    <w:rsid w:val="002A506A"/>
    <w:rsid w:val="002A5CCF"/>
    <w:rsid w:val="002A6E23"/>
    <w:rsid w:val="002A6FA7"/>
    <w:rsid w:val="002A7017"/>
    <w:rsid w:val="002B0000"/>
    <w:rsid w:val="002B0599"/>
    <w:rsid w:val="002B0E54"/>
    <w:rsid w:val="002B16E4"/>
    <w:rsid w:val="002B1FDA"/>
    <w:rsid w:val="002B2108"/>
    <w:rsid w:val="002B211A"/>
    <w:rsid w:val="002B28F6"/>
    <w:rsid w:val="002B314C"/>
    <w:rsid w:val="002B3634"/>
    <w:rsid w:val="002B469C"/>
    <w:rsid w:val="002B53E8"/>
    <w:rsid w:val="002B5A8D"/>
    <w:rsid w:val="002B5E47"/>
    <w:rsid w:val="002B60E9"/>
    <w:rsid w:val="002B6A61"/>
    <w:rsid w:val="002B7706"/>
    <w:rsid w:val="002C000D"/>
    <w:rsid w:val="002C0F19"/>
    <w:rsid w:val="002C14C3"/>
    <w:rsid w:val="002C1FBF"/>
    <w:rsid w:val="002C34BC"/>
    <w:rsid w:val="002C3713"/>
    <w:rsid w:val="002C3D09"/>
    <w:rsid w:val="002C4384"/>
    <w:rsid w:val="002C44DF"/>
    <w:rsid w:val="002C4B60"/>
    <w:rsid w:val="002C4E05"/>
    <w:rsid w:val="002C582F"/>
    <w:rsid w:val="002C5AB1"/>
    <w:rsid w:val="002C6207"/>
    <w:rsid w:val="002C6D5E"/>
    <w:rsid w:val="002D034E"/>
    <w:rsid w:val="002D1BAA"/>
    <w:rsid w:val="002D2685"/>
    <w:rsid w:val="002D269E"/>
    <w:rsid w:val="002D374F"/>
    <w:rsid w:val="002D3CEB"/>
    <w:rsid w:val="002D3F0F"/>
    <w:rsid w:val="002D3FB1"/>
    <w:rsid w:val="002D4552"/>
    <w:rsid w:val="002D4AD3"/>
    <w:rsid w:val="002D6FA6"/>
    <w:rsid w:val="002D72D9"/>
    <w:rsid w:val="002E01B2"/>
    <w:rsid w:val="002E0453"/>
    <w:rsid w:val="002E10E6"/>
    <w:rsid w:val="002E1408"/>
    <w:rsid w:val="002E26A9"/>
    <w:rsid w:val="002E27BC"/>
    <w:rsid w:val="002E2C78"/>
    <w:rsid w:val="002E2D09"/>
    <w:rsid w:val="002E3A75"/>
    <w:rsid w:val="002E3CC0"/>
    <w:rsid w:val="002E4F6A"/>
    <w:rsid w:val="002E6262"/>
    <w:rsid w:val="002E6AB3"/>
    <w:rsid w:val="002F0B71"/>
    <w:rsid w:val="002F12F6"/>
    <w:rsid w:val="002F1699"/>
    <w:rsid w:val="002F214D"/>
    <w:rsid w:val="002F25D4"/>
    <w:rsid w:val="002F3D21"/>
    <w:rsid w:val="002F3D53"/>
    <w:rsid w:val="002F3E55"/>
    <w:rsid w:val="002F4D8E"/>
    <w:rsid w:val="002F62DE"/>
    <w:rsid w:val="002F63FC"/>
    <w:rsid w:val="002F7943"/>
    <w:rsid w:val="00300389"/>
    <w:rsid w:val="00300687"/>
    <w:rsid w:val="00300E2E"/>
    <w:rsid w:val="003021C2"/>
    <w:rsid w:val="00302D11"/>
    <w:rsid w:val="0030331A"/>
    <w:rsid w:val="00303B72"/>
    <w:rsid w:val="00303BDD"/>
    <w:rsid w:val="00303E11"/>
    <w:rsid w:val="00303F34"/>
    <w:rsid w:val="0030484E"/>
    <w:rsid w:val="00304F6D"/>
    <w:rsid w:val="003056BE"/>
    <w:rsid w:val="0030612C"/>
    <w:rsid w:val="00306151"/>
    <w:rsid w:val="003065D7"/>
    <w:rsid w:val="00306B6A"/>
    <w:rsid w:val="00306DCD"/>
    <w:rsid w:val="003070AE"/>
    <w:rsid w:val="00307A40"/>
    <w:rsid w:val="0031123E"/>
    <w:rsid w:val="003121B9"/>
    <w:rsid w:val="003156F7"/>
    <w:rsid w:val="00315B41"/>
    <w:rsid w:val="00317A72"/>
    <w:rsid w:val="00317AE9"/>
    <w:rsid w:val="00317D87"/>
    <w:rsid w:val="00317F26"/>
    <w:rsid w:val="003200B6"/>
    <w:rsid w:val="00320F3D"/>
    <w:rsid w:val="003215EE"/>
    <w:rsid w:val="00322286"/>
    <w:rsid w:val="00322EF4"/>
    <w:rsid w:val="0032342C"/>
    <w:rsid w:val="003254C1"/>
    <w:rsid w:val="00326069"/>
    <w:rsid w:val="00326167"/>
    <w:rsid w:val="00326791"/>
    <w:rsid w:val="00327823"/>
    <w:rsid w:val="00330207"/>
    <w:rsid w:val="003307AB"/>
    <w:rsid w:val="003309DE"/>
    <w:rsid w:val="00334643"/>
    <w:rsid w:val="00334677"/>
    <w:rsid w:val="00335AE2"/>
    <w:rsid w:val="00335EB0"/>
    <w:rsid w:val="003373FF"/>
    <w:rsid w:val="00337FE5"/>
    <w:rsid w:val="00341876"/>
    <w:rsid w:val="00343C69"/>
    <w:rsid w:val="00344F62"/>
    <w:rsid w:val="00346B22"/>
    <w:rsid w:val="00350DBC"/>
    <w:rsid w:val="00350E51"/>
    <w:rsid w:val="00351496"/>
    <w:rsid w:val="003515FC"/>
    <w:rsid w:val="003517A9"/>
    <w:rsid w:val="00351DCE"/>
    <w:rsid w:val="00351EB9"/>
    <w:rsid w:val="00352667"/>
    <w:rsid w:val="0035390A"/>
    <w:rsid w:val="00353979"/>
    <w:rsid w:val="00353C0C"/>
    <w:rsid w:val="00354DBF"/>
    <w:rsid w:val="003606EE"/>
    <w:rsid w:val="00361904"/>
    <w:rsid w:val="0036234B"/>
    <w:rsid w:val="00362B31"/>
    <w:rsid w:val="00364413"/>
    <w:rsid w:val="003645D0"/>
    <w:rsid w:val="003646E0"/>
    <w:rsid w:val="003647BC"/>
    <w:rsid w:val="0036525A"/>
    <w:rsid w:val="003657E9"/>
    <w:rsid w:val="00365AEA"/>
    <w:rsid w:val="003662E3"/>
    <w:rsid w:val="003673BD"/>
    <w:rsid w:val="003675AC"/>
    <w:rsid w:val="00371D1A"/>
    <w:rsid w:val="00372A16"/>
    <w:rsid w:val="00372A97"/>
    <w:rsid w:val="00372F01"/>
    <w:rsid w:val="00372F74"/>
    <w:rsid w:val="00373284"/>
    <w:rsid w:val="00374140"/>
    <w:rsid w:val="003759A1"/>
    <w:rsid w:val="00375B7B"/>
    <w:rsid w:val="0037611E"/>
    <w:rsid w:val="003768A5"/>
    <w:rsid w:val="00377773"/>
    <w:rsid w:val="00381185"/>
    <w:rsid w:val="00381285"/>
    <w:rsid w:val="00381779"/>
    <w:rsid w:val="00381BCD"/>
    <w:rsid w:val="00382037"/>
    <w:rsid w:val="003824FA"/>
    <w:rsid w:val="00383514"/>
    <w:rsid w:val="00385EBC"/>
    <w:rsid w:val="00386AE8"/>
    <w:rsid w:val="00386F71"/>
    <w:rsid w:val="00387340"/>
    <w:rsid w:val="0038779A"/>
    <w:rsid w:val="00387999"/>
    <w:rsid w:val="00387F3F"/>
    <w:rsid w:val="00390D38"/>
    <w:rsid w:val="00391207"/>
    <w:rsid w:val="0039291C"/>
    <w:rsid w:val="003929C8"/>
    <w:rsid w:val="00392A44"/>
    <w:rsid w:val="00392B68"/>
    <w:rsid w:val="0039306A"/>
    <w:rsid w:val="00393A11"/>
    <w:rsid w:val="00394330"/>
    <w:rsid w:val="00395AF3"/>
    <w:rsid w:val="003966B4"/>
    <w:rsid w:val="00397F98"/>
    <w:rsid w:val="003A02F0"/>
    <w:rsid w:val="003A08A2"/>
    <w:rsid w:val="003A0CE4"/>
    <w:rsid w:val="003A1802"/>
    <w:rsid w:val="003A3A41"/>
    <w:rsid w:val="003A5BB5"/>
    <w:rsid w:val="003A5E15"/>
    <w:rsid w:val="003A6089"/>
    <w:rsid w:val="003A7702"/>
    <w:rsid w:val="003A7DDD"/>
    <w:rsid w:val="003B183E"/>
    <w:rsid w:val="003B2348"/>
    <w:rsid w:val="003B2AC8"/>
    <w:rsid w:val="003B33A8"/>
    <w:rsid w:val="003B3D09"/>
    <w:rsid w:val="003B3DB1"/>
    <w:rsid w:val="003B6170"/>
    <w:rsid w:val="003B742C"/>
    <w:rsid w:val="003C0816"/>
    <w:rsid w:val="003C08E4"/>
    <w:rsid w:val="003C0925"/>
    <w:rsid w:val="003C10A8"/>
    <w:rsid w:val="003C141D"/>
    <w:rsid w:val="003C14A1"/>
    <w:rsid w:val="003C17C8"/>
    <w:rsid w:val="003C1CEA"/>
    <w:rsid w:val="003C1DBB"/>
    <w:rsid w:val="003C2A82"/>
    <w:rsid w:val="003C34E5"/>
    <w:rsid w:val="003C5F9B"/>
    <w:rsid w:val="003C6276"/>
    <w:rsid w:val="003C6FD5"/>
    <w:rsid w:val="003C7543"/>
    <w:rsid w:val="003D07AD"/>
    <w:rsid w:val="003D0C40"/>
    <w:rsid w:val="003D10FC"/>
    <w:rsid w:val="003D1217"/>
    <w:rsid w:val="003D2B8D"/>
    <w:rsid w:val="003D3F20"/>
    <w:rsid w:val="003D4C2F"/>
    <w:rsid w:val="003D5290"/>
    <w:rsid w:val="003D5C12"/>
    <w:rsid w:val="003D5C88"/>
    <w:rsid w:val="003D660C"/>
    <w:rsid w:val="003D70C6"/>
    <w:rsid w:val="003D7A00"/>
    <w:rsid w:val="003D7EB2"/>
    <w:rsid w:val="003E16D1"/>
    <w:rsid w:val="003E1EAF"/>
    <w:rsid w:val="003E23D8"/>
    <w:rsid w:val="003E23F9"/>
    <w:rsid w:val="003E2C55"/>
    <w:rsid w:val="003E366D"/>
    <w:rsid w:val="003E3C53"/>
    <w:rsid w:val="003E3CA8"/>
    <w:rsid w:val="003E4478"/>
    <w:rsid w:val="003E4711"/>
    <w:rsid w:val="003E4751"/>
    <w:rsid w:val="003E483B"/>
    <w:rsid w:val="003E65D6"/>
    <w:rsid w:val="003E7A1A"/>
    <w:rsid w:val="003F0158"/>
    <w:rsid w:val="003F0EA2"/>
    <w:rsid w:val="003F20D0"/>
    <w:rsid w:val="003F2782"/>
    <w:rsid w:val="003F4A38"/>
    <w:rsid w:val="003F4F7D"/>
    <w:rsid w:val="003F5B3B"/>
    <w:rsid w:val="003F5D75"/>
    <w:rsid w:val="003F6559"/>
    <w:rsid w:val="003F7142"/>
    <w:rsid w:val="003F76AE"/>
    <w:rsid w:val="003F7973"/>
    <w:rsid w:val="00400304"/>
    <w:rsid w:val="00400F5B"/>
    <w:rsid w:val="0040155B"/>
    <w:rsid w:val="0040173B"/>
    <w:rsid w:val="00401BCD"/>
    <w:rsid w:val="004020A0"/>
    <w:rsid w:val="00402FE5"/>
    <w:rsid w:val="00403634"/>
    <w:rsid w:val="00403F7E"/>
    <w:rsid w:val="004042C8"/>
    <w:rsid w:val="004051FA"/>
    <w:rsid w:val="00405B6C"/>
    <w:rsid w:val="004063B2"/>
    <w:rsid w:val="00410F72"/>
    <w:rsid w:val="00411EA2"/>
    <w:rsid w:val="004131EB"/>
    <w:rsid w:val="00413F0F"/>
    <w:rsid w:val="0041574D"/>
    <w:rsid w:val="004165DC"/>
    <w:rsid w:val="004179AD"/>
    <w:rsid w:val="00417A0E"/>
    <w:rsid w:val="0042099F"/>
    <w:rsid w:val="004210A5"/>
    <w:rsid w:val="00421D3F"/>
    <w:rsid w:val="00421ED2"/>
    <w:rsid w:val="00422B24"/>
    <w:rsid w:val="00422CED"/>
    <w:rsid w:val="00422F90"/>
    <w:rsid w:val="00423065"/>
    <w:rsid w:val="004234A0"/>
    <w:rsid w:val="00423A19"/>
    <w:rsid w:val="00423F72"/>
    <w:rsid w:val="004258F1"/>
    <w:rsid w:val="0042649D"/>
    <w:rsid w:val="00426573"/>
    <w:rsid w:val="004276B2"/>
    <w:rsid w:val="00427E97"/>
    <w:rsid w:val="00430BC5"/>
    <w:rsid w:val="00430C8C"/>
    <w:rsid w:val="0043157B"/>
    <w:rsid w:val="004318FF"/>
    <w:rsid w:val="00431C74"/>
    <w:rsid w:val="00432205"/>
    <w:rsid w:val="00432BDA"/>
    <w:rsid w:val="00434019"/>
    <w:rsid w:val="00434A7D"/>
    <w:rsid w:val="00434CDF"/>
    <w:rsid w:val="00434D83"/>
    <w:rsid w:val="00434FA6"/>
    <w:rsid w:val="00435B7E"/>
    <w:rsid w:val="004363F2"/>
    <w:rsid w:val="0043699E"/>
    <w:rsid w:val="00436BDB"/>
    <w:rsid w:val="00437260"/>
    <w:rsid w:val="00437394"/>
    <w:rsid w:val="004406DA"/>
    <w:rsid w:val="0044092F"/>
    <w:rsid w:val="00440966"/>
    <w:rsid w:val="00441A78"/>
    <w:rsid w:val="00441AF5"/>
    <w:rsid w:val="004427FA"/>
    <w:rsid w:val="00442E7C"/>
    <w:rsid w:val="00443EC6"/>
    <w:rsid w:val="00443EF1"/>
    <w:rsid w:val="00444FB2"/>
    <w:rsid w:val="00445405"/>
    <w:rsid w:val="00445BA1"/>
    <w:rsid w:val="00445E87"/>
    <w:rsid w:val="00447E56"/>
    <w:rsid w:val="00450BED"/>
    <w:rsid w:val="004520D6"/>
    <w:rsid w:val="0045574E"/>
    <w:rsid w:val="004558DA"/>
    <w:rsid w:val="00456DC7"/>
    <w:rsid w:val="00457585"/>
    <w:rsid w:val="004575B4"/>
    <w:rsid w:val="00460E81"/>
    <w:rsid w:val="00460F95"/>
    <w:rsid w:val="004616B3"/>
    <w:rsid w:val="00463D10"/>
    <w:rsid w:val="00464A42"/>
    <w:rsid w:val="00464F55"/>
    <w:rsid w:val="00465076"/>
    <w:rsid w:val="00467206"/>
    <w:rsid w:val="004673C2"/>
    <w:rsid w:val="00467D1C"/>
    <w:rsid w:val="00470399"/>
    <w:rsid w:val="00470E92"/>
    <w:rsid w:val="004715F8"/>
    <w:rsid w:val="00472D15"/>
    <w:rsid w:val="004732EE"/>
    <w:rsid w:val="00473410"/>
    <w:rsid w:val="00473688"/>
    <w:rsid w:val="00473BE0"/>
    <w:rsid w:val="0047577B"/>
    <w:rsid w:val="00475B9B"/>
    <w:rsid w:val="00476500"/>
    <w:rsid w:val="0047674C"/>
    <w:rsid w:val="004815B6"/>
    <w:rsid w:val="00481E1C"/>
    <w:rsid w:val="00482C65"/>
    <w:rsid w:val="004842EF"/>
    <w:rsid w:val="004854C5"/>
    <w:rsid w:val="00485728"/>
    <w:rsid w:val="0048650A"/>
    <w:rsid w:val="00486511"/>
    <w:rsid w:val="00487573"/>
    <w:rsid w:val="00490988"/>
    <w:rsid w:val="00490B12"/>
    <w:rsid w:val="00492E4A"/>
    <w:rsid w:val="0049308F"/>
    <w:rsid w:val="00493546"/>
    <w:rsid w:val="004941D6"/>
    <w:rsid w:val="00494DF1"/>
    <w:rsid w:val="00494FC9"/>
    <w:rsid w:val="00495765"/>
    <w:rsid w:val="00497A35"/>
    <w:rsid w:val="00497FE7"/>
    <w:rsid w:val="004A13FE"/>
    <w:rsid w:val="004A2BD9"/>
    <w:rsid w:val="004A53C7"/>
    <w:rsid w:val="004A5D39"/>
    <w:rsid w:val="004A5D4D"/>
    <w:rsid w:val="004A6620"/>
    <w:rsid w:val="004A6ACD"/>
    <w:rsid w:val="004A7D7F"/>
    <w:rsid w:val="004A7F24"/>
    <w:rsid w:val="004B0612"/>
    <w:rsid w:val="004B1664"/>
    <w:rsid w:val="004B1AD5"/>
    <w:rsid w:val="004B1FF1"/>
    <w:rsid w:val="004B23EF"/>
    <w:rsid w:val="004B26D4"/>
    <w:rsid w:val="004B2B04"/>
    <w:rsid w:val="004B3FAC"/>
    <w:rsid w:val="004B41BD"/>
    <w:rsid w:val="004B43DE"/>
    <w:rsid w:val="004B49C3"/>
    <w:rsid w:val="004B4B5B"/>
    <w:rsid w:val="004B675A"/>
    <w:rsid w:val="004B69CC"/>
    <w:rsid w:val="004B6B2D"/>
    <w:rsid w:val="004B71FC"/>
    <w:rsid w:val="004B73FC"/>
    <w:rsid w:val="004B76A1"/>
    <w:rsid w:val="004B7A0D"/>
    <w:rsid w:val="004C12C3"/>
    <w:rsid w:val="004C2DDB"/>
    <w:rsid w:val="004C542D"/>
    <w:rsid w:val="004C5838"/>
    <w:rsid w:val="004C6595"/>
    <w:rsid w:val="004C7029"/>
    <w:rsid w:val="004D05BB"/>
    <w:rsid w:val="004D0D64"/>
    <w:rsid w:val="004D100E"/>
    <w:rsid w:val="004D13CB"/>
    <w:rsid w:val="004D1667"/>
    <w:rsid w:val="004D1BDF"/>
    <w:rsid w:val="004D2C57"/>
    <w:rsid w:val="004D42FA"/>
    <w:rsid w:val="004D5A80"/>
    <w:rsid w:val="004D605A"/>
    <w:rsid w:val="004D6347"/>
    <w:rsid w:val="004D77AA"/>
    <w:rsid w:val="004E0207"/>
    <w:rsid w:val="004E0AD1"/>
    <w:rsid w:val="004E1114"/>
    <w:rsid w:val="004E211E"/>
    <w:rsid w:val="004E3B6E"/>
    <w:rsid w:val="004E3E8C"/>
    <w:rsid w:val="004E4210"/>
    <w:rsid w:val="004E494A"/>
    <w:rsid w:val="004E59AA"/>
    <w:rsid w:val="004E5AF9"/>
    <w:rsid w:val="004E6739"/>
    <w:rsid w:val="004E6C26"/>
    <w:rsid w:val="004E6D89"/>
    <w:rsid w:val="004E7281"/>
    <w:rsid w:val="004F0065"/>
    <w:rsid w:val="004F096C"/>
    <w:rsid w:val="004F0A88"/>
    <w:rsid w:val="004F0B1B"/>
    <w:rsid w:val="004F10A3"/>
    <w:rsid w:val="004F195A"/>
    <w:rsid w:val="004F2548"/>
    <w:rsid w:val="004F36CD"/>
    <w:rsid w:val="004F3C67"/>
    <w:rsid w:val="004F3D90"/>
    <w:rsid w:val="004F4094"/>
    <w:rsid w:val="004F4E05"/>
    <w:rsid w:val="004F7EA3"/>
    <w:rsid w:val="005004C1"/>
    <w:rsid w:val="00500576"/>
    <w:rsid w:val="0050078B"/>
    <w:rsid w:val="00500B1E"/>
    <w:rsid w:val="00501C59"/>
    <w:rsid w:val="00501EE7"/>
    <w:rsid w:val="00502355"/>
    <w:rsid w:val="0050266C"/>
    <w:rsid w:val="00505667"/>
    <w:rsid w:val="0051065A"/>
    <w:rsid w:val="00510A5F"/>
    <w:rsid w:val="00510C58"/>
    <w:rsid w:val="005117BD"/>
    <w:rsid w:val="005130E3"/>
    <w:rsid w:val="00513AE4"/>
    <w:rsid w:val="00514339"/>
    <w:rsid w:val="00515554"/>
    <w:rsid w:val="00515E91"/>
    <w:rsid w:val="0051632C"/>
    <w:rsid w:val="00516CC0"/>
    <w:rsid w:val="005204BC"/>
    <w:rsid w:val="00522D90"/>
    <w:rsid w:val="00522EE7"/>
    <w:rsid w:val="00523D8E"/>
    <w:rsid w:val="0052584E"/>
    <w:rsid w:val="005262D7"/>
    <w:rsid w:val="00526893"/>
    <w:rsid w:val="00526C3D"/>
    <w:rsid w:val="005277F6"/>
    <w:rsid w:val="005278CD"/>
    <w:rsid w:val="00527E61"/>
    <w:rsid w:val="00530140"/>
    <w:rsid w:val="00531183"/>
    <w:rsid w:val="00531D73"/>
    <w:rsid w:val="00531F8E"/>
    <w:rsid w:val="00532663"/>
    <w:rsid w:val="00534719"/>
    <w:rsid w:val="00534A4D"/>
    <w:rsid w:val="00534F0D"/>
    <w:rsid w:val="00535B34"/>
    <w:rsid w:val="00540A2E"/>
    <w:rsid w:val="00540EDE"/>
    <w:rsid w:val="00541DE3"/>
    <w:rsid w:val="005421B4"/>
    <w:rsid w:val="0054453C"/>
    <w:rsid w:val="00545C95"/>
    <w:rsid w:val="00545FA2"/>
    <w:rsid w:val="005462BA"/>
    <w:rsid w:val="0054660F"/>
    <w:rsid w:val="0054744C"/>
    <w:rsid w:val="0055115A"/>
    <w:rsid w:val="005515F7"/>
    <w:rsid w:val="0055390C"/>
    <w:rsid w:val="00554E16"/>
    <w:rsid w:val="0055502B"/>
    <w:rsid w:val="005552DE"/>
    <w:rsid w:val="0055537E"/>
    <w:rsid w:val="00556247"/>
    <w:rsid w:val="00556D8C"/>
    <w:rsid w:val="00556F7D"/>
    <w:rsid w:val="005577B0"/>
    <w:rsid w:val="005578F2"/>
    <w:rsid w:val="00560722"/>
    <w:rsid w:val="00561D5E"/>
    <w:rsid w:val="00564187"/>
    <w:rsid w:val="00564CCB"/>
    <w:rsid w:val="00564F01"/>
    <w:rsid w:val="005658AC"/>
    <w:rsid w:val="00565ADA"/>
    <w:rsid w:val="00566A8A"/>
    <w:rsid w:val="00567A23"/>
    <w:rsid w:val="00567F13"/>
    <w:rsid w:val="00570850"/>
    <w:rsid w:val="00571084"/>
    <w:rsid w:val="005711FE"/>
    <w:rsid w:val="00571359"/>
    <w:rsid w:val="005716EB"/>
    <w:rsid w:val="005727D9"/>
    <w:rsid w:val="00573DE4"/>
    <w:rsid w:val="00574DB3"/>
    <w:rsid w:val="00575D4D"/>
    <w:rsid w:val="00580842"/>
    <w:rsid w:val="005836DF"/>
    <w:rsid w:val="00585190"/>
    <w:rsid w:val="00585245"/>
    <w:rsid w:val="00586010"/>
    <w:rsid w:val="00586733"/>
    <w:rsid w:val="005875CB"/>
    <w:rsid w:val="005900F5"/>
    <w:rsid w:val="0059019C"/>
    <w:rsid w:val="00590264"/>
    <w:rsid w:val="005906C2"/>
    <w:rsid w:val="0059121D"/>
    <w:rsid w:val="00591628"/>
    <w:rsid w:val="005929B6"/>
    <w:rsid w:val="00592B20"/>
    <w:rsid w:val="00594A53"/>
    <w:rsid w:val="005971A7"/>
    <w:rsid w:val="00597A30"/>
    <w:rsid w:val="005A0541"/>
    <w:rsid w:val="005A08C9"/>
    <w:rsid w:val="005A2230"/>
    <w:rsid w:val="005A2298"/>
    <w:rsid w:val="005A2366"/>
    <w:rsid w:val="005A237A"/>
    <w:rsid w:val="005A25F4"/>
    <w:rsid w:val="005A28B3"/>
    <w:rsid w:val="005A3C1C"/>
    <w:rsid w:val="005A40A7"/>
    <w:rsid w:val="005A56B0"/>
    <w:rsid w:val="005A6A8A"/>
    <w:rsid w:val="005A6D38"/>
    <w:rsid w:val="005A774C"/>
    <w:rsid w:val="005B011E"/>
    <w:rsid w:val="005B01C8"/>
    <w:rsid w:val="005B0899"/>
    <w:rsid w:val="005B0CC2"/>
    <w:rsid w:val="005B0D80"/>
    <w:rsid w:val="005B1A50"/>
    <w:rsid w:val="005B2596"/>
    <w:rsid w:val="005B35C4"/>
    <w:rsid w:val="005B3829"/>
    <w:rsid w:val="005B3E17"/>
    <w:rsid w:val="005B42E4"/>
    <w:rsid w:val="005B4388"/>
    <w:rsid w:val="005B50DF"/>
    <w:rsid w:val="005B52E6"/>
    <w:rsid w:val="005B554D"/>
    <w:rsid w:val="005B618D"/>
    <w:rsid w:val="005B6C18"/>
    <w:rsid w:val="005B6F65"/>
    <w:rsid w:val="005B716F"/>
    <w:rsid w:val="005B73E9"/>
    <w:rsid w:val="005C08A5"/>
    <w:rsid w:val="005C143A"/>
    <w:rsid w:val="005C22E6"/>
    <w:rsid w:val="005C25C6"/>
    <w:rsid w:val="005C341E"/>
    <w:rsid w:val="005C37A1"/>
    <w:rsid w:val="005C38C0"/>
    <w:rsid w:val="005C400E"/>
    <w:rsid w:val="005C42B7"/>
    <w:rsid w:val="005C477C"/>
    <w:rsid w:val="005C4DC1"/>
    <w:rsid w:val="005C4E90"/>
    <w:rsid w:val="005C5370"/>
    <w:rsid w:val="005C6E1F"/>
    <w:rsid w:val="005C7503"/>
    <w:rsid w:val="005C7B57"/>
    <w:rsid w:val="005D0F2F"/>
    <w:rsid w:val="005D22E8"/>
    <w:rsid w:val="005D30D0"/>
    <w:rsid w:val="005D406F"/>
    <w:rsid w:val="005D4B62"/>
    <w:rsid w:val="005D4F77"/>
    <w:rsid w:val="005D5B6D"/>
    <w:rsid w:val="005D6353"/>
    <w:rsid w:val="005E18C1"/>
    <w:rsid w:val="005E19DC"/>
    <w:rsid w:val="005E3B0E"/>
    <w:rsid w:val="005E4262"/>
    <w:rsid w:val="005E4FC9"/>
    <w:rsid w:val="005E4FE4"/>
    <w:rsid w:val="005E5A00"/>
    <w:rsid w:val="005E6A97"/>
    <w:rsid w:val="005E6B20"/>
    <w:rsid w:val="005E7913"/>
    <w:rsid w:val="005F1022"/>
    <w:rsid w:val="005F1387"/>
    <w:rsid w:val="005F176F"/>
    <w:rsid w:val="005F17C8"/>
    <w:rsid w:val="005F1D08"/>
    <w:rsid w:val="005F22C2"/>
    <w:rsid w:val="005F29CA"/>
    <w:rsid w:val="005F34E6"/>
    <w:rsid w:val="005F4AF3"/>
    <w:rsid w:val="005F531C"/>
    <w:rsid w:val="005F56CB"/>
    <w:rsid w:val="005F6014"/>
    <w:rsid w:val="005F6806"/>
    <w:rsid w:val="005F71AE"/>
    <w:rsid w:val="00601663"/>
    <w:rsid w:val="00601AFC"/>
    <w:rsid w:val="0060225B"/>
    <w:rsid w:val="006023D5"/>
    <w:rsid w:val="0060287F"/>
    <w:rsid w:val="00602A12"/>
    <w:rsid w:val="00602AEF"/>
    <w:rsid w:val="006033FD"/>
    <w:rsid w:val="006037FB"/>
    <w:rsid w:val="00603C70"/>
    <w:rsid w:val="00603FF0"/>
    <w:rsid w:val="00604DEC"/>
    <w:rsid w:val="006052CB"/>
    <w:rsid w:val="0060565E"/>
    <w:rsid w:val="006056AD"/>
    <w:rsid w:val="00606171"/>
    <w:rsid w:val="00606C4F"/>
    <w:rsid w:val="006071FA"/>
    <w:rsid w:val="0060747C"/>
    <w:rsid w:val="006075FC"/>
    <w:rsid w:val="00607684"/>
    <w:rsid w:val="00607E2D"/>
    <w:rsid w:val="00607E73"/>
    <w:rsid w:val="006105C7"/>
    <w:rsid w:val="006107FB"/>
    <w:rsid w:val="00610CDB"/>
    <w:rsid w:val="00611A95"/>
    <w:rsid w:val="00612AE8"/>
    <w:rsid w:val="00614146"/>
    <w:rsid w:val="0061432D"/>
    <w:rsid w:val="00614672"/>
    <w:rsid w:val="00614D0E"/>
    <w:rsid w:val="0061550F"/>
    <w:rsid w:val="00616DA4"/>
    <w:rsid w:val="00616E13"/>
    <w:rsid w:val="006178CD"/>
    <w:rsid w:val="00621D01"/>
    <w:rsid w:val="00622696"/>
    <w:rsid w:val="0062358B"/>
    <w:rsid w:val="00623776"/>
    <w:rsid w:val="006253D2"/>
    <w:rsid w:val="00626BD5"/>
    <w:rsid w:val="00627DC6"/>
    <w:rsid w:val="00631991"/>
    <w:rsid w:val="00631CD8"/>
    <w:rsid w:val="00632123"/>
    <w:rsid w:val="006335E3"/>
    <w:rsid w:val="00633849"/>
    <w:rsid w:val="00634884"/>
    <w:rsid w:val="006353B3"/>
    <w:rsid w:val="00635DA0"/>
    <w:rsid w:val="006373E5"/>
    <w:rsid w:val="006374E3"/>
    <w:rsid w:val="00637D9A"/>
    <w:rsid w:val="0064020A"/>
    <w:rsid w:val="00640290"/>
    <w:rsid w:val="0064080C"/>
    <w:rsid w:val="00641675"/>
    <w:rsid w:val="006447C2"/>
    <w:rsid w:val="00645EE2"/>
    <w:rsid w:val="00645F7A"/>
    <w:rsid w:val="0064614B"/>
    <w:rsid w:val="00647B96"/>
    <w:rsid w:val="00650985"/>
    <w:rsid w:val="00650A97"/>
    <w:rsid w:val="00651138"/>
    <w:rsid w:val="00651E77"/>
    <w:rsid w:val="00653658"/>
    <w:rsid w:val="006539DA"/>
    <w:rsid w:val="00654513"/>
    <w:rsid w:val="0065453B"/>
    <w:rsid w:val="00654691"/>
    <w:rsid w:val="006546E4"/>
    <w:rsid w:val="00654C78"/>
    <w:rsid w:val="00654EE2"/>
    <w:rsid w:val="0065510C"/>
    <w:rsid w:val="00655549"/>
    <w:rsid w:val="006573BA"/>
    <w:rsid w:val="0065793B"/>
    <w:rsid w:val="00657E05"/>
    <w:rsid w:val="006610B6"/>
    <w:rsid w:val="00661516"/>
    <w:rsid w:val="0066165F"/>
    <w:rsid w:val="0066167C"/>
    <w:rsid w:val="00662270"/>
    <w:rsid w:val="0066536D"/>
    <w:rsid w:val="006660C6"/>
    <w:rsid w:val="006663D2"/>
    <w:rsid w:val="00666485"/>
    <w:rsid w:val="00667816"/>
    <w:rsid w:val="00667DFF"/>
    <w:rsid w:val="0067036C"/>
    <w:rsid w:val="00670EE0"/>
    <w:rsid w:val="006710D3"/>
    <w:rsid w:val="00671969"/>
    <w:rsid w:val="0067200F"/>
    <w:rsid w:val="0067234A"/>
    <w:rsid w:val="006732A9"/>
    <w:rsid w:val="006732F0"/>
    <w:rsid w:val="00673403"/>
    <w:rsid w:val="00676F7B"/>
    <w:rsid w:val="006771D1"/>
    <w:rsid w:val="006803E3"/>
    <w:rsid w:val="006818D9"/>
    <w:rsid w:val="00681AE4"/>
    <w:rsid w:val="006821C3"/>
    <w:rsid w:val="006825F6"/>
    <w:rsid w:val="00682737"/>
    <w:rsid w:val="0068287D"/>
    <w:rsid w:val="0068296A"/>
    <w:rsid w:val="00682EAF"/>
    <w:rsid w:val="006837C6"/>
    <w:rsid w:val="00684658"/>
    <w:rsid w:val="00684E30"/>
    <w:rsid w:val="00684EE8"/>
    <w:rsid w:val="00685141"/>
    <w:rsid w:val="00686751"/>
    <w:rsid w:val="006868BC"/>
    <w:rsid w:val="006871E4"/>
    <w:rsid w:val="00690361"/>
    <w:rsid w:val="0069036B"/>
    <w:rsid w:val="00690753"/>
    <w:rsid w:val="0069085B"/>
    <w:rsid w:val="00690F34"/>
    <w:rsid w:val="00690FD1"/>
    <w:rsid w:val="00691153"/>
    <w:rsid w:val="00693032"/>
    <w:rsid w:val="0069316D"/>
    <w:rsid w:val="00693EDC"/>
    <w:rsid w:val="006945C8"/>
    <w:rsid w:val="00695258"/>
    <w:rsid w:val="006962C1"/>
    <w:rsid w:val="00696747"/>
    <w:rsid w:val="00696993"/>
    <w:rsid w:val="00696E04"/>
    <w:rsid w:val="00697CB9"/>
    <w:rsid w:val="006A0579"/>
    <w:rsid w:val="006A185D"/>
    <w:rsid w:val="006A1F13"/>
    <w:rsid w:val="006A2A32"/>
    <w:rsid w:val="006A3185"/>
    <w:rsid w:val="006A3A69"/>
    <w:rsid w:val="006A3BB9"/>
    <w:rsid w:val="006A4A45"/>
    <w:rsid w:val="006A5C60"/>
    <w:rsid w:val="006A607D"/>
    <w:rsid w:val="006A6529"/>
    <w:rsid w:val="006A715D"/>
    <w:rsid w:val="006A7858"/>
    <w:rsid w:val="006A7E90"/>
    <w:rsid w:val="006B02C9"/>
    <w:rsid w:val="006B07EA"/>
    <w:rsid w:val="006B10CF"/>
    <w:rsid w:val="006B2331"/>
    <w:rsid w:val="006B2465"/>
    <w:rsid w:val="006B273F"/>
    <w:rsid w:val="006B3A63"/>
    <w:rsid w:val="006B3B33"/>
    <w:rsid w:val="006B52FD"/>
    <w:rsid w:val="006B5782"/>
    <w:rsid w:val="006B65E4"/>
    <w:rsid w:val="006B6C66"/>
    <w:rsid w:val="006C07F1"/>
    <w:rsid w:val="006C2348"/>
    <w:rsid w:val="006C2505"/>
    <w:rsid w:val="006C2883"/>
    <w:rsid w:val="006C321F"/>
    <w:rsid w:val="006C3432"/>
    <w:rsid w:val="006C3CCE"/>
    <w:rsid w:val="006C3EEA"/>
    <w:rsid w:val="006C4949"/>
    <w:rsid w:val="006C4AC7"/>
    <w:rsid w:val="006C5D4E"/>
    <w:rsid w:val="006C63E4"/>
    <w:rsid w:val="006C6592"/>
    <w:rsid w:val="006C697F"/>
    <w:rsid w:val="006C775C"/>
    <w:rsid w:val="006C7CC2"/>
    <w:rsid w:val="006D0146"/>
    <w:rsid w:val="006D1B56"/>
    <w:rsid w:val="006D29E4"/>
    <w:rsid w:val="006D2B8D"/>
    <w:rsid w:val="006D3087"/>
    <w:rsid w:val="006D52B9"/>
    <w:rsid w:val="006D7DBF"/>
    <w:rsid w:val="006E0049"/>
    <w:rsid w:val="006E10F9"/>
    <w:rsid w:val="006E25C8"/>
    <w:rsid w:val="006E2A9E"/>
    <w:rsid w:val="006E3399"/>
    <w:rsid w:val="006E3CDD"/>
    <w:rsid w:val="006E51CF"/>
    <w:rsid w:val="006E5704"/>
    <w:rsid w:val="006E5A2D"/>
    <w:rsid w:val="006E5B13"/>
    <w:rsid w:val="006E600B"/>
    <w:rsid w:val="006E603B"/>
    <w:rsid w:val="006E60ED"/>
    <w:rsid w:val="006E62B7"/>
    <w:rsid w:val="006E6833"/>
    <w:rsid w:val="006E6A58"/>
    <w:rsid w:val="006E7074"/>
    <w:rsid w:val="006E7725"/>
    <w:rsid w:val="006E7EF2"/>
    <w:rsid w:val="006F04A9"/>
    <w:rsid w:val="006F0F40"/>
    <w:rsid w:val="006F1633"/>
    <w:rsid w:val="006F276C"/>
    <w:rsid w:val="006F30C4"/>
    <w:rsid w:val="006F36F9"/>
    <w:rsid w:val="006F3B83"/>
    <w:rsid w:val="006F43FB"/>
    <w:rsid w:val="006F4650"/>
    <w:rsid w:val="006F4746"/>
    <w:rsid w:val="006F5FC3"/>
    <w:rsid w:val="006F672A"/>
    <w:rsid w:val="006F75B3"/>
    <w:rsid w:val="00700522"/>
    <w:rsid w:val="00701F91"/>
    <w:rsid w:val="00701FDE"/>
    <w:rsid w:val="007023A3"/>
    <w:rsid w:val="00702C94"/>
    <w:rsid w:val="00704AA8"/>
    <w:rsid w:val="00704C4D"/>
    <w:rsid w:val="00704F5D"/>
    <w:rsid w:val="0070610D"/>
    <w:rsid w:val="00710BED"/>
    <w:rsid w:val="00711564"/>
    <w:rsid w:val="00711F58"/>
    <w:rsid w:val="00712045"/>
    <w:rsid w:val="0071213A"/>
    <w:rsid w:val="007127A3"/>
    <w:rsid w:val="007127B5"/>
    <w:rsid w:val="00712E2C"/>
    <w:rsid w:val="007144F3"/>
    <w:rsid w:val="00715559"/>
    <w:rsid w:val="00715930"/>
    <w:rsid w:val="0071670F"/>
    <w:rsid w:val="00716F2D"/>
    <w:rsid w:val="00721EDA"/>
    <w:rsid w:val="00722016"/>
    <w:rsid w:val="00722442"/>
    <w:rsid w:val="007227F2"/>
    <w:rsid w:val="007233C3"/>
    <w:rsid w:val="0072357D"/>
    <w:rsid w:val="00725304"/>
    <w:rsid w:val="00725363"/>
    <w:rsid w:val="007257A3"/>
    <w:rsid w:val="007259F6"/>
    <w:rsid w:val="007263C1"/>
    <w:rsid w:val="00726C45"/>
    <w:rsid w:val="0072717E"/>
    <w:rsid w:val="0072719B"/>
    <w:rsid w:val="0073040C"/>
    <w:rsid w:val="00730582"/>
    <w:rsid w:val="00730D3B"/>
    <w:rsid w:val="007326F5"/>
    <w:rsid w:val="007327F7"/>
    <w:rsid w:val="00732E2E"/>
    <w:rsid w:val="007335DD"/>
    <w:rsid w:val="00734107"/>
    <w:rsid w:val="00734C8D"/>
    <w:rsid w:val="00735333"/>
    <w:rsid w:val="00737E6F"/>
    <w:rsid w:val="00740469"/>
    <w:rsid w:val="0074052F"/>
    <w:rsid w:val="00740C55"/>
    <w:rsid w:val="007415D8"/>
    <w:rsid w:val="007416AD"/>
    <w:rsid w:val="0074207F"/>
    <w:rsid w:val="007438F1"/>
    <w:rsid w:val="007451D9"/>
    <w:rsid w:val="00745383"/>
    <w:rsid w:val="00745FF2"/>
    <w:rsid w:val="007472AA"/>
    <w:rsid w:val="00750E92"/>
    <w:rsid w:val="00751226"/>
    <w:rsid w:val="0075133A"/>
    <w:rsid w:val="007514E9"/>
    <w:rsid w:val="00751C23"/>
    <w:rsid w:val="00751F75"/>
    <w:rsid w:val="0075219E"/>
    <w:rsid w:val="00752780"/>
    <w:rsid w:val="00752806"/>
    <w:rsid w:val="00752AF1"/>
    <w:rsid w:val="007533CC"/>
    <w:rsid w:val="007534B2"/>
    <w:rsid w:val="007539E5"/>
    <w:rsid w:val="00756617"/>
    <w:rsid w:val="00757C97"/>
    <w:rsid w:val="00757E72"/>
    <w:rsid w:val="00757F45"/>
    <w:rsid w:val="007607DD"/>
    <w:rsid w:val="0076109D"/>
    <w:rsid w:val="007615BF"/>
    <w:rsid w:val="00762851"/>
    <w:rsid w:val="00762A82"/>
    <w:rsid w:val="00763306"/>
    <w:rsid w:val="00763A5D"/>
    <w:rsid w:val="00765721"/>
    <w:rsid w:val="0076758A"/>
    <w:rsid w:val="00767B56"/>
    <w:rsid w:val="00767F8E"/>
    <w:rsid w:val="0077088E"/>
    <w:rsid w:val="00771F20"/>
    <w:rsid w:val="00772145"/>
    <w:rsid w:val="00772370"/>
    <w:rsid w:val="007724AF"/>
    <w:rsid w:val="00772D5F"/>
    <w:rsid w:val="007734B5"/>
    <w:rsid w:val="007734DC"/>
    <w:rsid w:val="0077355A"/>
    <w:rsid w:val="00775C78"/>
    <w:rsid w:val="00775D38"/>
    <w:rsid w:val="00776BEC"/>
    <w:rsid w:val="00776D1E"/>
    <w:rsid w:val="007770C4"/>
    <w:rsid w:val="0077759F"/>
    <w:rsid w:val="007801C0"/>
    <w:rsid w:val="0078051D"/>
    <w:rsid w:val="00780558"/>
    <w:rsid w:val="00780AB3"/>
    <w:rsid w:val="00781281"/>
    <w:rsid w:val="00781E1C"/>
    <w:rsid w:val="0078212E"/>
    <w:rsid w:val="00782F6F"/>
    <w:rsid w:val="00783486"/>
    <w:rsid w:val="00785223"/>
    <w:rsid w:val="00785E0C"/>
    <w:rsid w:val="007861AA"/>
    <w:rsid w:val="00787BB7"/>
    <w:rsid w:val="00787DC0"/>
    <w:rsid w:val="00787F5A"/>
    <w:rsid w:val="007900AA"/>
    <w:rsid w:val="00790688"/>
    <w:rsid w:val="0079201F"/>
    <w:rsid w:val="00793CC1"/>
    <w:rsid w:val="00794012"/>
    <w:rsid w:val="007977D9"/>
    <w:rsid w:val="007A1AED"/>
    <w:rsid w:val="007A23F3"/>
    <w:rsid w:val="007A2695"/>
    <w:rsid w:val="007A2FA9"/>
    <w:rsid w:val="007A3502"/>
    <w:rsid w:val="007A3CF9"/>
    <w:rsid w:val="007A40E6"/>
    <w:rsid w:val="007A611B"/>
    <w:rsid w:val="007A6377"/>
    <w:rsid w:val="007A6794"/>
    <w:rsid w:val="007A6C3F"/>
    <w:rsid w:val="007A74C0"/>
    <w:rsid w:val="007A7705"/>
    <w:rsid w:val="007A7ECE"/>
    <w:rsid w:val="007B1F81"/>
    <w:rsid w:val="007B33AA"/>
    <w:rsid w:val="007B3546"/>
    <w:rsid w:val="007B44A0"/>
    <w:rsid w:val="007B62B3"/>
    <w:rsid w:val="007B69C6"/>
    <w:rsid w:val="007B6DDA"/>
    <w:rsid w:val="007B75DF"/>
    <w:rsid w:val="007B768C"/>
    <w:rsid w:val="007B7940"/>
    <w:rsid w:val="007B7E1F"/>
    <w:rsid w:val="007C072B"/>
    <w:rsid w:val="007C0737"/>
    <w:rsid w:val="007C1743"/>
    <w:rsid w:val="007C19E2"/>
    <w:rsid w:val="007C1A68"/>
    <w:rsid w:val="007C2671"/>
    <w:rsid w:val="007C2B19"/>
    <w:rsid w:val="007C2BDE"/>
    <w:rsid w:val="007C3996"/>
    <w:rsid w:val="007C422A"/>
    <w:rsid w:val="007C5AAA"/>
    <w:rsid w:val="007C641A"/>
    <w:rsid w:val="007C64C0"/>
    <w:rsid w:val="007C6C64"/>
    <w:rsid w:val="007D2931"/>
    <w:rsid w:val="007D36E4"/>
    <w:rsid w:val="007D440F"/>
    <w:rsid w:val="007D45C3"/>
    <w:rsid w:val="007D5556"/>
    <w:rsid w:val="007D5B74"/>
    <w:rsid w:val="007D79FF"/>
    <w:rsid w:val="007E195B"/>
    <w:rsid w:val="007E2632"/>
    <w:rsid w:val="007E30F2"/>
    <w:rsid w:val="007E3CA4"/>
    <w:rsid w:val="007E3E75"/>
    <w:rsid w:val="007E3F26"/>
    <w:rsid w:val="007E5131"/>
    <w:rsid w:val="007E5586"/>
    <w:rsid w:val="007E5C19"/>
    <w:rsid w:val="007E6563"/>
    <w:rsid w:val="007E6B10"/>
    <w:rsid w:val="007E7C3A"/>
    <w:rsid w:val="007F0435"/>
    <w:rsid w:val="007F0BEB"/>
    <w:rsid w:val="007F1D7A"/>
    <w:rsid w:val="007F1DEA"/>
    <w:rsid w:val="007F2351"/>
    <w:rsid w:val="007F2369"/>
    <w:rsid w:val="007F3A43"/>
    <w:rsid w:val="007F40F8"/>
    <w:rsid w:val="007F41D5"/>
    <w:rsid w:val="007F4CB3"/>
    <w:rsid w:val="007F575E"/>
    <w:rsid w:val="007F634A"/>
    <w:rsid w:val="007F662D"/>
    <w:rsid w:val="007F6AC1"/>
    <w:rsid w:val="007F6EDD"/>
    <w:rsid w:val="00800975"/>
    <w:rsid w:val="00800DD3"/>
    <w:rsid w:val="00800EEE"/>
    <w:rsid w:val="00801058"/>
    <w:rsid w:val="0080121D"/>
    <w:rsid w:val="00801560"/>
    <w:rsid w:val="00801D91"/>
    <w:rsid w:val="008036A6"/>
    <w:rsid w:val="0080410C"/>
    <w:rsid w:val="00804CD7"/>
    <w:rsid w:val="00804D10"/>
    <w:rsid w:val="00805463"/>
    <w:rsid w:val="00805AB0"/>
    <w:rsid w:val="00805CDF"/>
    <w:rsid w:val="00805F90"/>
    <w:rsid w:val="008064A6"/>
    <w:rsid w:val="008079B0"/>
    <w:rsid w:val="00810CE7"/>
    <w:rsid w:val="00811BB8"/>
    <w:rsid w:val="00812761"/>
    <w:rsid w:val="0081293C"/>
    <w:rsid w:val="008129AF"/>
    <w:rsid w:val="00813BD5"/>
    <w:rsid w:val="00814CDA"/>
    <w:rsid w:val="00815659"/>
    <w:rsid w:val="008168F2"/>
    <w:rsid w:val="00816C13"/>
    <w:rsid w:val="008179D7"/>
    <w:rsid w:val="00817E5B"/>
    <w:rsid w:val="00820483"/>
    <w:rsid w:val="00820E5F"/>
    <w:rsid w:val="00821A3F"/>
    <w:rsid w:val="0082245E"/>
    <w:rsid w:val="008225AF"/>
    <w:rsid w:val="0082276C"/>
    <w:rsid w:val="008242B4"/>
    <w:rsid w:val="00824452"/>
    <w:rsid w:val="00825940"/>
    <w:rsid w:val="00826DB9"/>
    <w:rsid w:val="00827434"/>
    <w:rsid w:val="0083004E"/>
    <w:rsid w:val="008309FC"/>
    <w:rsid w:val="00830BD7"/>
    <w:rsid w:val="00831522"/>
    <w:rsid w:val="00832769"/>
    <w:rsid w:val="00833B87"/>
    <w:rsid w:val="00834092"/>
    <w:rsid w:val="00834174"/>
    <w:rsid w:val="0083463D"/>
    <w:rsid w:val="00834F92"/>
    <w:rsid w:val="008354AB"/>
    <w:rsid w:val="008360E8"/>
    <w:rsid w:val="008369EE"/>
    <w:rsid w:val="00837113"/>
    <w:rsid w:val="008376D3"/>
    <w:rsid w:val="0084030C"/>
    <w:rsid w:val="00841CDC"/>
    <w:rsid w:val="00842C56"/>
    <w:rsid w:val="00842FC6"/>
    <w:rsid w:val="008439E1"/>
    <w:rsid w:val="00843E48"/>
    <w:rsid w:val="00843EA7"/>
    <w:rsid w:val="008442BC"/>
    <w:rsid w:val="00844B47"/>
    <w:rsid w:val="00846849"/>
    <w:rsid w:val="008468EF"/>
    <w:rsid w:val="00846BC1"/>
    <w:rsid w:val="008473A1"/>
    <w:rsid w:val="008473F4"/>
    <w:rsid w:val="0085027B"/>
    <w:rsid w:val="008504C0"/>
    <w:rsid w:val="0085072F"/>
    <w:rsid w:val="008507E3"/>
    <w:rsid w:val="00851A45"/>
    <w:rsid w:val="0085233B"/>
    <w:rsid w:val="00852388"/>
    <w:rsid w:val="00853BA6"/>
    <w:rsid w:val="00853DB2"/>
    <w:rsid w:val="008551FA"/>
    <w:rsid w:val="00855632"/>
    <w:rsid w:val="008559A1"/>
    <w:rsid w:val="00855D18"/>
    <w:rsid w:val="008562C6"/>
    <w:rsid w:val="00856604"/>
    <w:rsid w:val="008571BD"/>
    <w:rsid w:val="00861AD8"/>
    <w:rsid w:val="00861EA9"/>
    <w:rsid w:val="00862152"/>
    <w:rsid w:val="00864A97"/>
    <w:rsid w:val="00864F77"/>
    <w:rsid w:val="00865632"/>
    <w:rsid w:val="008658D0"/>
    <w:rsid w:val="00865AA6"/>
    <w:rsid w:val="00866353"/>
    <w:rsid w:val="00866EBA"/>
    <w:rsid w:val="00867906"/>
    <w:rsid w:val="008708CB"/>
    <w:rsid w:val="00871230"/>
    <w:rsid w:val="00871595"/>
    <w:rsid w:val="008717E7"/>
    <w:rsid w:val="00871ECF"/>
    <w:rsid w:val="00871F9D"/>
    <w:rsid w:val="00872477"/>
    <w:rsid w:val="008725A1"/>
    <w:rsid w:val="00872ADB"/>
    <w:rsid w:val="008738B1"/>
    <w:rsid w:val="00873C0F"/>
    <w:rsid w:val="008741BE"/>
    <w:rsid w:val="00874641"/>
    <w:rsid w:val="00875861"/>
    <w:rsid w:val="00875C09"/>
    <w:rsid w:val="00875C8B"/>
    <w:rsid w:val="0087663B"/>
    <w:rsid w:val="0088050D"/>
    <w:rsid w:val="008817FF"/>
    <w:rsid w:val="00881CD7"/>
    <w:rsid w:val="00882BD6"/>
    <w:rsid w:val="008844D5"/>
    <w:rsid w:val="00884624"/>
    <w:rsid w:val="00884ED8"/>
    <w:rsid w:val="008850A3"/>
    <w:rsid w:val="0088527B"/>
    <w:rsid w:val="00885464"/>
    <w:rsid w:val="008859FC"/>
    <w:rsid w:val="00887057"/>
    <w:rsid w:val="008875D7"/>
    <w:rsid w:val="008902FE"/>
    <w:rsid w:val="00892892"/>
    <w:rsid w:val="00893757"/>
    <w:rsid w:val="0089441B"/>
    <w:rsid w:val="00894792"/>
    <w:rsid w:val="00895D1B"/>
    <w:rsid w:val="00895DD6"/>
    <w:rsid w:val="0089610B"/>
    <w:rsid w:val="00896575"/>
    <w:rsid w:val="00897884"/>
    <w:rsid w:val="00897E81"/>
    <w:rsid w:val="008A0017"/>
    <w:rsid w:val="008A0943"/>
    <w:rsid w:val="008A09D5"/>
    <w:rsid w:val="008A1879"/>
    <w:rsid w:val="008A1C58"/>
    <w:rsid w:val="008A2E8A"/>
    <w:rsid w:val="008A46EC"/>
    <w:rsid w:val="008A51A3"/>
    <w:rsid w:val="008A5E02"/>
    <w:rsid w:val="008A5EE2"/>
    <w:rsid w:val="008A680F"/>
    <w:rsid w:val="008A6B02"/>
    <w:rsid w:val="008A6CE3"/>
    <w:rsid w:val="008A6E07"/>
    <w:rsid w:val="008A6F84"/>
    <w:rsid w:val="008A7175"/>
    <w:rsid w:val="008A79AF"/>
    <w:rsid w:val="008A7AB0"/>
    <w:rsid w:val="008A7D6A"/>
    <w:rsid w:val="008B01DF"/>
    <w:rsid w:val="008B02DD"/>
    <w:rsid w:val="008B0C7E"/>
    <w:rsid w:val="008B0DE6"/>
    <w:rsid w:val="008B0F2B"/>
    <w:rsid w:val="008B1035"/>
    <w:rsid w:val="008B1E9A"/>
    <w:rsid w:val="008B2CF9"/>
    <w:rsid w:val="008B3342"/>
    <w:rsid w:val="008B4D33"/>
    <w:rsid w:val="008B5774"/>
    <w:rsid w:val="008B5C60"/>
    <w:rsid w:val="008B72D5"/>
    <w:rsid w:val="008B7F0C"/>
    <w:rsid w:val="008C04FE"/>
    <w:rsid w:val="008C067C"/>
    <w:rsid w:val="008C0BF1"/>
    <w:rsid w:val="008C1FC8"/>
    <w:rsid w:val="008C31BB"/>
    <w:rsid w:val="008C3730"/>
    <w:rsid w:val="008C3E07"/>
    <w:rsid w:val="008C491F"/>
    <w:rsid w:val="008C4AA6"/>
    <w:rsid w:val="008C50C0"/>
    <w:rsid w:val="008C606C"/>
    <w:rsid w:val="008C6A7F"/>
    <w:rsid w:val="008C6DD8"/>
    <w:rsid w:val="008D03CF"/>
    <w:rsid w:val="008D0C36"/>
    <w:rsid w:val="008D171D"/>
    <w:rsid w:val="008D28C7"/>
    <w:rsid w:val="008D2EB3"/>
    <w:rsid w:val="008D2F89"/>
    <w:rsid w:val="008D3FBB"/>
    <w:rsid w:val="008D3FBF"/>
    <w:rsid w:val="008D4363"/>
    <w:rsid w:val="008D489D"/>
    <w:rsid w:val="008D4B43"/>
    <w:rsid w:val="008D5142"/>
    <w:rsid w:val="008D60D9"/>
    <w:rsid w:val="008D64C2"/>
    <w:rsid w:val="008D7CFF"/>
    <w:rsid w:val="008D7EE8"/>
    <w:rsid w:val="008E0082"/>
    <w:rsid w:val="008E0C68"/>
    <w:rsid w:val="008E1C2E"/>
    <w:rsid w:val="008E2263"/>
    <w:rsid w:val="008E257E"/>
    <w:rsid w:val="008E35AE"/>
    <w:rsid w:val="008E3960"/>
    <w:rsid w:val="008E4E5D"/>
    <w:rsid w:val="008E57B7"/>
    <w:rsid w:val="008E5C9A"/>
    <w:rsid w:val="008E6CC6"/>
    <w:rsid w:val="008E6D56"/>
    <w:rsid w:val="008E6EFC"/>
    <w:rsid w:val="008E71A4"/>
    <w:rsid w:val="008E7439"/>
    <w:rsid w:val="008E7C48"/>
    <w:rsid w:val="008F1BE8"/>
    <w:rsid w:val="008F1F92"/>
    <w:rsid w:val="008F264E"/>
    <w:rsid w:val="008F3183"/>
    <w:rsid w:val="008F3327"/>
    <w:rsid w:val="008F332F"/>
    <w:rsid w:val="008F3AC7"/>
    <w:rsid w:val="008F4ABC"/>
    <w:rsid w:val="008F6EEF"/>
    <w:rsid w:val="008F6F70"/>
    <w:rsid w:val="00900CAE"/>
    <w:rsid w:val="00901CAA"/>
    <w:rsid w:val="009022AB"/>
    <w:rsid w:val="009023E4"/>
    <w:rsid w:val="00902944"/>
    <w:rsid w:val="00902AE8"/>
    <w:rsid w:val="0090304F"/>
    <w:rsid w:val="00904E44"/>
    <w:rsid w:val="00905063"/>
    <w:rsid w:val="00905B53"/>
    <w:rsid w:val="00907D8D"/>
    <w:rsid w:val="00910815"/>
    <w:rsid w:val="00911DEA"/>
    <w:rsid w:val="009121E7"/>
    <w:rsid w:val="009138C9"/>
    <w:rsid w:val="00914919"/>
    <w:rsid w:val="00914994"/>
    <w:rsid w:val="00915281"/>
    <w:rsid w:val="009160F9"/>
    <w:rsid w:val="00916B26"/>
    <w:rsid w:val="00920261"/>
    <w:rsid w:val="00920318"/>
    <w:rsid w:val="009217AB"/>
    <w:rsid w:val="009219A4"/>
    <w:rsid w:val="00921B8B"/>
    <w:rsid w:val="00921D37"/>
    <w:rsid w:val="009222FA"/>
    <w:rsid w:val="00922BE4"/>
    <w:rsid w:val="0092303B"/>
    <w:rsid w:val="0092354B"/>
    <w:rsid w:val="009255A7"/>
    <w:rsid w:val="009261DB"/>
    <w:rsid w:val="0092792B"/>
    <w:rsid w:val="009319A4"/>
    <w:rsid w:val="00931ABD"/>
    <w:rsid w:val="00931BFA"/>
    <w:rsid w:val="009334C8"/>
    <w:rsid w:val="00933DBA"/>
    <w:rsid w:val="009343BD"/>
    <w:rsid w:val="009356D4"/>
    <w:rsid w:val="00936E75"/>
    <w:rsid w:val="00937071"/>
    <w:rsid w:val="0094056D"/>
    <w:rsid w:val="009414B2"/>
    <w:rsid w:val="0094162C"/>
    <w:rsid w:val="00941DED"/>
    <w:rsid w:val="0094275D"/>
    <w:rsid w:val="00943096"/>
    <w:rsid w:val="00943360"/>
    <w:rsid w:val="00943590"/>
    <w:rsid w:val="009440E9"/>
    <w:rsid w:val="009445EE"/>
    <w:rsid w:val="009456C3"/>
    <w:rsid w:val="00945BB7"/>
    <w:rsid w:val="00946A21"/>
    <w:rsid w:val="00946BC9"/>
    <w:rsid w:val="00947177"/>
    <w:rsid w:val="00947AEA"/>
    <w:rsid w:val="00947DA1"/>
    <w:rsid w:val="00950835"/>
    <w:rsid w:val="0095112D"/>
    <w:rsid w:val="00951610"/>
    <w:rsid w:val="009535A4"/>
    <w:rsid w:val="00954E34"/>
    <w:rsid w:val="009558AB"/>
    <w:rsid w:val="009566B0"/>
    <w:rsid w:val="00956BCB"/>
    <w:rsid w:val="00957A8C"/>
    <w:rsid w:val="009609A9"/>
    <w:rsid w:val="00960AB8"/>
    <w:rsid w:val="00960BE5"/>
    <w:rsid w:val="0096143E"/>
    <w:rsid w:val="00961BFB"/>
    <w:rsid w:val="00961D7C"/>
    <w:rsid w:val="009622B5"/>
    <w:rsid w:val="009623B6"/>
    <w:rsid w:val="00962733"/>
    <w:rsid w:val="00962962"/>
    <w:rsid w:val="00962BCF"/>
    <w:rsid w:val="00963A9D"/>
    <w:rsid w:val="00963C5F"/>
    <w:rsid w:val="0096476D"/>
    <w:rsid w:val="00964A0A"/>
    <w:rsid w:val="0096501A"/>
    <w:rsid w:val="009650B3"/>
    <w:rsid w:val="009666B7"/>
    <w:rsid w:val="00966A56"/>
    <w:rsid w:val="0097065F"/>
    <w:rsid w:val="00970FB4"/>
    <w:rsid w:val="00971199"/>
    <w:rsid w:val="00971E1E"/>
    <w:rsid w:val="0097206F"/>
    <w:rsid w:val="009773C5"/>
    <w:rsid w:val="0097789D"/>
    <w:rsid w:val="009778AC"/>
    <w:rsid w:val="00980F8D"/>
    <w:rsid w:val="00980FA3"/>
    <w:rsid w:val="00981BAF"/>
    <w:rsid w:val="009829A2"/>
    <w:rsid w:val="009830AC"/>
    <w:rsid w:val="009851E9"/>
    <w:rsid w:val="009856EA"/>
    <w:rsid w:val="00986BF1"/>
    <w:rsid w:val="00990F0D"/>
    <w:rsid w:val="00991229"/>
    <w:rsid w:val="009916DE"/>
    <w:rsid w:val="00992DF8"/>
    <w:rsid w:val="00993CC2"/>
    <w:rsid w:val="00995D46"/>
    <w:rsid w:val="0099659B"/>
    <w:rsid w:val="00996DAD"/>
    <w:rsid w:val="00996DF8"/>
    <w:rsid w:val="00996EEF"/>
    <w:rsid w:val="00997C4D"/>
    <w:rsid w:val="009A0A30"/>
    <w:rsid w:val="009A19C8"/>
    <w:rsid w:val="009A1FD9"/>
    <w:rsid w:val="009A238F"/>
    <w:rsid w:val="009A2C76"/>
    <w:rsid w:val="009A305D"/>
    <w:rsid w:val="009A307E"/>
    <w:rsid w:val="009A312E"/>
    <w:rsid w:val="009A3D19"/>
    <w:rsid w:val="009A4615"/>
    <w:rsid w:val="009A4768"/>
    <w:rsid w:val="009A4FFA"/>
    <w:rsid w:val="009A6DA5"/>
    <w:rsid w:val="009B035E"/>
    <w:rsid w:val="009B04DA"/>
    <w:rsid w:val="009B0712"/>
    <w:rsid w:val="009B1971"/>
    <w:rsid w:val="009B484F"/>
    <w:rsid w:val="009B5A0C"/>
    <w:rsid w:val="009B5F78"/>
    <w:rsid w:val="009B63F1"/>
    <w:rsid w:val="009B6912"/>
    <w:rsid w:val="009B76A8"/>
    <w:rsid w:val="009C0717"/>
    <w:rsid w:val="009C141F"/>
    <w:rsid w:val="009C15DE"/>
    <w:rsid w:val="009C174B"/>
    <w:rsid w:val="009C223D"/>
    <w:rsid w:val="009C477C"/>
    <w:rsid w:val="009C5642"/>
    <w:rsid w:val="009C5EE1"/>
    <w:rsid w:val="009C626B"/>
    <w:rsid w:val="009C77BF"/>
    <w:rsid w:val="009D0A49"/>
    <w:rsid w:val="009D1E04"/>
    <w:rsid w:val="009D2C8B"/>
    <w:rsid w:val="009D2D88"/>
    <w:rsid w:val="009D353B"/>
    <w:rsid w:val="009D530E"/>
    <w:rsid w:val="009D69FA"/>
    <w:rsid w:val="009D713F"/>
    <w:rsid w:val="009E0B31"/>
    <w:rsid w:val="009E0B4C"/>
    <w:rsid w:val="009E282D"/>
    <w:rsid w:val="009E28E0"/>
    <w:rsid w:val="009E2C26"/>
    <w:rsid w:val="009E56E9"/>
    <w:rsid w:val="009E6E2B"/>
    <w:rsid w:val="009F0210"/>
    <w:rsid w:val="009F091F"/>
    <w:rsid w:val="009F09E5"/>
    <w:rsid w:val="009F2C40"/>
    <w:rsid w:val="009F40DC"/>
    <w:rsid w:val="009F550D"/>
    <w:rsid w:val="009F5521"/>
    <w:rsid w:val="009F5ADB"/>
    <w:rsid w:val="009F5D86"/>
    <w:rsid w:val="009F65DE"/>
    <w:rsid w:val="009F772A"/>
    <w:rsid w:val="009F7B68"/>
    <w:rsid w:val="009F7C61"/>
    <w:rsid w:val="00A00647"/>
    <w:rsid w:val="00A00B9A"/>
    <w:rsid w:val="00A00BA6"/>
    <w:rsid w:val="00A015D1"/>
    <w:rsid w:val="00A01B6B"/>
    <w:rsid w:val="00A025B8"/>
    <w:rsid w:val="00A02626"/>
    <w:rsid w:val="00A02853"/>
    <w:rsid w:val="00A0375B"/>
    <w:rsid w:val="00A04841"/>
    <w:rsid w:val="00A051AB"/>
    <w:rsid w:val="00A05A79"/>
    <w:rsid w:val="00A05D57"/>
    <w:rsid w:val="00A06920"/>
    <w:rsid w:val="00A06A54"/>
    <w:rsid w:val="00A06DC4"/>
    <w:rsid w:val="00A0786D"/>
    <w:rsid w:val="00A07902"/>
    <w:rsid w:val="00A079CC"/>
    <w:rsid w:val="00A07CD5"/>
    <w:rsid w:val="00A101E9"/>
    <w:rsid w:val="00A11721"/>
    <w:rsid w:val="00A12459"/>
    <w:rsid w:val="00A125A5"/>
    <w:rsid w:val="00A1299F"/>
    <w:rsid w:val="00A1413B"/>
    <w:rsid w:val="00A14F5D"/>
    <w:rsid w:val="00A150CB"/>
    <w:rsid w:val="00A153FC"/>
    <w:rsid w:val="00A154AA"/>
    <w:rsid w:val="00A15FC8"/>
    <w:rsid w:val="00A169A1"/>
    <w:rsid w:val="00A16B71"/>
    <w:rsid w:val="00A17BE3"/>
    <w:rsid w:val="00A20505"/>
    <w:rsid w:val="00A21A24"/>
    <w:rsid w:val="00A21B52"/>
    <w:rsid w:val="00A2347D"/>
    <w:rsid w:val="00A24301"/>
    <w:rsid w:val="00A245BD"/>
    <w:rsid w:val="00A24C6D"/>
    <w:rsid w:val="00A2508C"/>
    <w:rsid w:val="00A27595"/>
    <w:rsid w:val="00A27A67"/>
    <w:rsid w:val="00A27DCF"/>
    <w:rsid w:val="00A30C31"/>
    <w:rsid w:val="00A31B59"/>
    <w:rsid w:val="00A31C3C"/>
    <w:rsid w:val="00A3275D"/>
    <w:rsid w:val="00A32DE8"/>
    <w:rsid w:val="00A32FB4"/>
    <w:rsid w:val="00A338F8"/>
    <w:rsid w:val="00A34623"/>
    <w:rsid w:val="00A354C5"/>
    <w:rsid w:val="00A36C6E"/>
    <w:rsid w:val="00A42509"/>
    <w:rsid w:val="00A42896"/>
    <w:rsid w:val="00A43120"/>
    <w:rsid w:val="00A439EF"/>
    <w:rsid w:val="00A43AA4"/>
    <w:rsid w:val="00A44329"/>
    <w:rsid w:val="00A46463"/>
    <w:rsid w:val="00A4663F"/>
    <w:rsid w:val="00A46BA8"/>
    <w:rsid w:val="00A4705F"/>
    <w:rsid w:val="00A5121F"/>
    <w:rsid w:val="00A5173C"/>
    <w:rsid w:val="00A520C6"/>
    <w:rsid w:val="00A521F1"/>
    <w:rsid w:val="00A52871"/>
    <w:rsid w:val="00A532D3"/>
    <w:rsid w:val="00A53679"/>
    <w:rsid w:val="00A5563C"/>
    <w:rsid w:val="00A55D3A"/>
    <w:rsid w:val="00A56165"/>
    <w:rsid w:val="00A56615"/>
    <w:rsid w:val="00A56A28"/>
    <w:rsid w:val="00A573B9"/>
    <w:rsid w:val="00A57701"/>
    <w:rsid w:val="00A57706"/>
    <w:rsid w:val="00A57997"/>
    <w:rsid w:val="00A60630"/>
    <w:rsid w:val="00A6125D"/>
    <w:rsid w:val="00A613E2"/>
    <w:rsid w:val="00A61C50"/>
    <w:rsid w:val="00A62D9C"/>
    <w:rsid w:val="00A63293"/>
    <w:rsid w:val="00A6487D"/>
    <w:rsid w:val="00A64B40"/>
    <w:rsid w:val="00A65537"/>
    <w:rsid w:val="00A6572D"/>
    <w:rsid w:val="00A6692F"/>
    <w:rsid w:val="00A66989"/>
    <w:rsid w:val="00A66E15"/>
    <w:rsid w:val="00A66EBE"/>
    <w:rsid w:val="00A66F59"/>
    <w:rsid w:val="00A679D4"/>
    <w:rsid w:val="00A7032B"/>
    <w:rsid w:val="00A70F25"/>
    <w:rsid w:val="00A7388A"/>
    <w:rsid w:val="00A73F2B"/>
    <w:rsid w:val="00A75009"/>
    <w:rsid w:val="00A76552"/>
    <w:rsid w:val="00A7788A"/>
    <w:rsid w:val="00A77EF3"/>
    <w:rsid w:val="00A77F28"/>
    <w:rsid w:val="00A80D8D"/>
    <w:rsid w:val="00A81B61"/>
    <w:rsid w:val="00A83125"/>
    <w:rsid w:val="00A836AB"/>
    <w:rsid w:val="00A83DDF"/>
    <w:rsid w:val="00A86CA5"/>
    <w:rsid w:val="00A87043"/>
    <w:rsid w:val="00A872BA"/>
    <w:rsid w:val="00A875B2"/>
    <w:rsid w:val="00A87ECF"/>
    <w:rsid w:val="00A906F1"/>
    <w:rsid w:val="00A9196B"/>
    <w:rsid w:val="00A9208E"/>
    <w:rsid w:val="00A92D82"/>
    <w:rsid w:val="00A93394"/>
    <w:rsid w:val="00A937E3"/>
    <w:rsid w:val="00A94F8F"/>
    <w:rsid w:val="00A957BB"/>
    <w:rsid w:val="00A95E90"/>
    <w:rsid w:val="00A96C33"/>
    <w:rsid w:val="00A96ED2"/>
    <w:rsid w:val="00A971AB"/>
    <w:rsid w:val="00A97291"/>
    <w:rsid w:val="00A978D4"/>
    <w:rsid w:val="00A97F68"/>
    <w:rsid w:val="00AA05DA"/>
    <w:rsid w:val="00AA2160"/>
    <w:rsid w:val="00AA3792"/>
    <w:rsid w:val="00AA401E"/>
    <w:rsid w:val="00AA4051"/>
    <w:rsid w:val="00AA4419"/>
    <w:rsid w:val="00AA50B0"/>
    <w:rsid w:val="00AA57B4"/>
    <w:rsid w:val="00AA5A43"/>
    <w:rsid w:val="00AA5A69"/>
    <w:rsid w:val="00AA65F9"/>
    <w:rsid w:val="00AA6A3B"/>
    <w:rsid w:val="00AA6F56"/>
    <w:rsid w:val="00AA7A44"/>
    <w:rsid w:val="00AA7C07"/>
    <w:rsid w:val="00AB069F"/>
    <w:rsid w:val="00AB3188"/>
    <w:rsid w:val="00AB40F5"/>
    <w:rsid w:val="00AB6044"/>
    <w:rsid w:val="00AB628D"/>
    <w:rsid w:val="00AB6626"/>
    <w:rsid w:val="00AB6DC4"/>
    <w:rsid w:val="00AB73B0"/>
    <w:rsid w:val="00AB75C5"/>
    <w:rsid w:val="00AC0819"/>
    <w:rsid w:val="00AC1A1E"/>
    <w:rsid w:val="00AC272A"/>
    <w:rsid w:val="00AC32F5"/>
    <w:rsid w:val="00AC4218"/>
    <w:rsid w:val="00AC4AB8"/>
    <w:rsid w:val="00AC573F"/>
    <w:rsid w:val="00AC627D"/>
    <w:rsid w:val="00AC6334"/>
    <w:rsid w:val="00AC6569"/>
    <w:rsid w:val="00AC6F8B"/>
    <w:rsid w:val="00AC6FA4"/>
    <w:rsid w:val="00AC7965"/>
    <w:rsid w:val="00AD135D"/>
    <w:rsid w:val="00AD182E"/>
    <w:rsid w:val="00AD1A4E"/>
    <w:rsid w:val="00AD1A77"/>
    <w:rsid w:val="00AD2198"/>
    <w:rsid w:val="00AD2714"/>
    <w:rsid w:val="00AD383E"/>
    <w:rsid w:val="00AD656D"/>
    <w:rsid w:val="00AD6EEF"/>
    <w:rsid w:val="00AD7484"/>
    <w:rsid w:val="00AE0368"/>
    <w:rsid w:val="00AE0B8D"/>
    <w:rsid w:val="00AE0E87"/>
    <w:rsid w:val="00AE19B1"/>
    <w:rsid w:val="00AE1A45"/>
    <w:rsid w:val="00AE21F6"/>
    <w:rsid w:val="00AE2562"/>
    <w:rsid w:val="00AE2621"/>
    <w:rsid w:val="00AE2CCA"/>
    <w:rsid w:val="00AE3139"/>
    <w:rsid w:val="00AE3BC3"/>
    <w:rsid w:val="00AE5F76"/>
    <w:rsid w:val="00AE61BD"/>
    <w:rsid w:val="00AE7886"/>
    <w:rsid w:val="00AE790D"/>
    <w:rsid w:val="00AF059C"/>
    <w:rsid w:val="00AF0C9D"/>
    <w:rsid w:val="00AF0EEE"/>
    <w:rsid w:val="00AF100F"/>
    <w:rsid w:val="00AF11C2"/>
    <w:rsid w:val="00AF2552"/>
    <w:rsid w:val="00AF29E9"/>
    <w:rsid w:val="00AF3B38"/>
    <w:rsid w:val="00AF4603"/>
    <w:rsid w:val="00AF4E2A"/>
    <w:rsid w:val="00AF513E"/>
    <w:rsid w:val="00AF5206"/>
    <w:rsid w:val="00AF5242"/>
    <w:rsid w:val="00AF531B"/>
    <w:rsid w:val="00AF6716"/>
    <w:rsid w:val="00AF67E8"/>
    <w:rsid w:val="00AF68B9"/>
    <w:rsid w:val="00AF7504"/>
    <w:rsid w:val="00B00033"/>
    <w:rsid w:val="00B00377"/>
    <w:rsid w:val="00B02008"/>
    <w:rsid w:val="00B02C6A"/>
    <w:rsid w:val="00B0365A"/>
    <w:rsid w:val="00B03762"/>
    <w:rsid w:val="00B045C6"/>
    <w:rsid w:val="00B05138"/>
    <w:rsid w:val="00B064B9"/>
    <w:rsid w:val="00B065DE"/>
    <w:rsid w:val="00B06B08"/>
    <w:rsid w:val="00B06C2F"/>
    <w:rsid w:val="00B06D7A"/>
    <w:rsid w:val="00B07606"/>
    <w:rsid w:val="00B0770F"/>
    <w:rsid w:val="00B10020"/>
    <w:rsid w:val="00B105AD"/>
    <w:rsid w:val="00B1070E"/>
    <w:rsid w:val="00B10D93"/>
    <w:rsid w:val="00B10E5E"/>
    <w:rsid w:val="00B110D3"/>
    <w:rsid w:val="00B11FEA"/>
    <w:rsid w:val="00B12300"/>
    <w:rsid w:val="00B126EA"/>
    <w:rsid w:val="00B12DDF"/>
    <w:rsid w:val="00B12FB5"/>
    <w:rsid w:val="00B138D5"/>
    <w:rsid w:val="00B141E0"/>
    <w:rsid w:val="00B14E0C"/>
    <w:rsid w:val="00B15AC1"/>
    <w:rsid w:val="00B1646F"/>
    <w:rsid w:val="00B168A0"/>
    <w:rsid w:val="00B1690F"/>
    <w:rsid w:val="00B176E3"/>
    <w:rsid w:val="00B21247"/>
    <w:rsid w:val="00B2137A"/>
    <w:rsid w:val="00B23CD9"/>
    <w:rsid w:val="00B23FD8"/>
    <w:rsid w:val="00B2482F"/>
    <w:rsid w:val="00B24C34"/>
    <w:rsid w:val="00B24E27"/>
    <w:rsid w:val="00B25B92"/>
    <w:rsid w:val="00B268EC"/>
    <w:rsid w:val="00B27567"/>
    <w:rsid w:val="00B30295"/>
    <w:rsid w:val="00B31649"/>
    <w:rsid w:val="00B3239B"/>
    <w:rsid w:val="00B330CE"/>
    <w:rsid w:val="00B34212"/>
    <w:rsid w:val="00B35D2C"/>
    <w:rsid w:val="00B3729C"/>
    <w:rsid w:val="00B37741"/>
    <w:rsid w:val="00B37AD7"/>
    <w:rsid w:val="00B37E23"/>
    <w:rsid w:val="00B413D5"/>
    <w:rsid w:val="00B41B52"/>
    <w:rsid w:val="00B42FC0"/>
    <w:rsid w:val="00B4349B"/>
    <w:rsid w:val="00B43C5C"/>
    <w:rsid w:val="00B43D60"/>
    <w:rsid w:val="00B4466E"/>
    <w:rsid w:val="00B44CCE"/>
    <w:rsid w:val="00B44D88"/>
    <w:rsid w:val="00B470AE"/>
    <w:rsid w:val="00B509FF"/>
    <w:rsid w:val="00B50A5C"/>
    <w:rsid w:val="00B513A8"/>
    <w:rsid w:val="00B51BAB"/>
    <w:rsid w:val="00B52918"/>
    <w:rsid w:val="00B52F27"/>
    <w:rsid w:val="00B530F3"/>
    <w:rsid w:val="00B55496"/>
    <w:rsid w:val="00B55890"/>
    <w:rsid w:val="00B57F45"/>
    <w:rsid w:val="00B601B0"/>
    <w:rsid w:val="00B601F5"/>
    <w:rsid w:val="00B606C0"/>
    <w:rsid w:val="00B608BF"/>
    <w:rsid w:val="00B62043"/>
    <w:rsid w:val="00B62AD3"/>
    <w:rsid w:val="00B64827"/>
    <w:rsid w:val="00B64CDF"/>
    <w:rsid w:val="00B64EF6"/>
    <w:rsid w:val="00B65942"/>
    <w:rsid w:val="00B65E53"/>
    <w:rsid w:val="00B67300"/>
    <w:rsid w:val="00B67A6C"/>
    <w:rsid w:val="00B67B92"/>
    <w:rsid w:val="00B67D2F"/>
    <w:rsid w:val="00B708C4"/>
    <w:rsid w:val="00B70A5F"/>
    <w:rsid w:val="00B70E17"/>
    <w:rsid w:val="00B71216"/>
    <w:rsid w:val="00B71E0B"/>
    <w:rsid w:val="00B71EC2"/>
    <w:rsid w:val="00B73691"/>
    <w:rsid w:val="00B73987"/>
    <w:rsid w:val="00B73B18"/>
    <w:rsid w:val="00B73FD3"/>
    <w:rsid w:val="00B7680F"/>
    <w:rsid w:val="00B768A7"/>
    <w:rsid w:val="00B8100D"/>
    <w:rsid w:val="00B8116B"/>
    <w:rsid w:val="00B81573"/>
    <w:rsid w:val="00B82B89"/>
    <w:rsid w:val="00B832FA"/>
    <w:rsid w:val="00B84255"/>
    <w:rsid w:val="00B84482"/>
    <w:rsid w:val="00B8545F"/>
    <w:rsid w:val="00B8576F"/>
    <w:rsid w:val="00B873B9"/>
    <w:rsid w:val="00B91168"/>
    <w:rsid w:val="00B92064"/>
    <w:rsid w:val="00B93251"/>
    <w:rsid w:val="00B938AD"/>
    <w:rsid w:val="00B9465E"/>
    <w:rsid w:val="00B95763"/>
    <w:rsid w:val="00B95FC6"/>
    <w:rsid w:val="00B96C16"/>
    <w:rsid w:val="00B9742A"/>
    <w:rsid w:val="00B976ED"/>
    <w:rsid w:val="00B97E48"/>
    <w:rsid w:val="00BA0ECB"/>
    <w:rsid w:val="00BA5245"/>
    <w:rsid w:val="00BA5C75"/>
    <w:rsid w:val="00BA5D68"/>
    <w:rsid w:val="00BA6047"/>
    <w:rsid w:val="00BA653F"/>
    <w:rsid w:val="00BA670A"/>
    <w:rsid w:val="00BA6995"/>
    <w:rsid w:val="00BA71AE"/>
    <w:rsid w:val="00BA7457"/>
    <w:rsid w:val="00BA7F7A"/>
    <w:rsid w:val="00BB02C0"/>
    <w:rsid w:val="00BB10C4"/>
    <w:rsid w:val="00BB1C99"/>
    <w:rsid w:val="00BB289F"/>
    <w:rsid w:val="00BB2B86"/>
    <w:rsid w:val="00BB2E6E"/>
    <w:rsid w:val="00BB2EC1"/>
    <w:rsid w:val="00BB384F"/>
    <w:rsid w:val="00BB4596"/>
    <w:rsid w:val="00BB4777"/>
    <w:rsid w:val="00BB506C"/>
    <w:rsid w:val="00BB5D40"/>
    <w:rsid w:val="00BB63BD"/>
    <w:rsid w:val="00BB7004"/>
    <w:rsid w:val="00BC1B4C"/>
    <w:rsid w:val="00BC3ECC"/>
    <w:rsid w:val="00BC4948"/>
    <w:rsid w:val="00BC5432"/>
    <w:rsid w:val="00BC59AD"/>
    <w:rsid w:val="00BC6DD1"/>
    <w:rsid w:val="00BC7745"/>
    <w:rsid w:val="00BC7D6C"/>
    <w:rsid w:val="00BD150A"/>
    <w:rsid w:val="00BD15F3"/>
    <w:rsid w:val="00BD1E1C"/>
    <w:rsid w:val="00BD2450"/>
    <w:rsid w:val="00BD2B35"/>
    <w:rsid w:val="00BD2D84"/>
    <w:rsid w:val="00BD2F8F"/>
    <w:rsid w:val="00BD3E7D"/>
    <w:rsid w:val="00BD4516"/>
    <w:rsid w:val="00BD47F1"/>
    <w:rsid w:val="00BD4B80"/>
    <w:rsid w:val="00BD4F07"/>
    <w:rsid w:val="00BD5183"/>
    <w:rsid w:val="00BD5CC8"/>
    <w:rsid w:val="00BD6013"/>
    <w:rsid w:val="00BD66A6"/>
    <w:rsid w:val="00BE0617"/>
    <w:rsid w:val="00BE07CB"/>
    <w:rsid w:val="00BE149D"/>
    <w:rsid w:val="00BE334F"/>
    <w:rsid w:val="00BE372B"/>
    <w:rsid w:val="00BE3C56"/>
    <w:rsid w:val="00BE4AF8"/>
    <w:rsid w:val="00BE62DF"/>
    <w:rsid w:val="00BE6492"/>
    <w:rsid w:val="00BE6566"/>
    <w:rsid w:val="00BE65C4"/>
    <w:rsid w:val="00BE71E2"/>
    <w:rsid w:val="00BE737D"/>
    <w:rsid w:val="00BE7449"/>
    <w:rsid w:val="00BE793D"/>
    <w:rsid w:val="00BF275D"/>
    <w:rsid w:val="00BF3903"/>
    <w:rsid w:val="00BF4804"/>
    <w:rsid w:val="00BF4D4B"/>
    <w:rsid w:val="00BF73B9"/>
    <w:rsid w:val="00C01128"/>
    <w:rsid w:val="00C01801"/>
    <w:rsid w:val="00C018B6"/>
    <w:rsid w:val="00C01BC5"/>
    <w:rsid w:val="00C01C20"/>
    <w:rsid w:val="00C02226"/>
    <w:rsid w:val="00C02B1E"/>
    <w:rsid w:val="00C0312C"/>
    <w:rsid w:val="00C032FB"/>
    <w:rsid w:val="00C03751"/>
    <w:rsid w:val="00C0420B"/>
    <w:rsid w:val="00C0430B"/>
    <w:rsid w:val="00C0483E"/>
    <w:rsid w:val="00C052CE"/>
    <w:rsid w:val="00C05435"/>
    <w:rsid w:val="00C05877"/>
    <w:rsid w:val="00C058EC"/>
    <w:rsid w:val="00C073F5"/>
    <w:rsid w:val="00C07FE2"/>
    <w:rsid w:val="00C1006B"/>
    <w:rsid w:val="00C10A11"/>
    <w:rsid w:val="00C10D14"/>
    <w:rsid w:val="00C112A0"/>
    <w:rsid w:val="00C1266A"/>
    <w:rsid w:val="00C127D8"/>
    <w:rsid w:val="00C13542"/>
    <w:rsid w:val="00C15A80"/>
    <w:rsid w:val="00C16D7F"/>
    <w:rsid w:val="00C17D34"/>
    <w:rsid w:val="00C21CE8"/>
    <w:rsid w:val="00C226EA"/>
    <w:rsid w:val="00C22BCE"/>
    <w:rsid w:val="00C238C1"/>
    <w:rsid w:val="00C241FD"/>
    <w:rsid w:val="00C24675"/>
    <w:rsid w:val="00C24C37"/>
    <w:rsid w:val="00C24C68"/>
    <w:rsid w:val="00C24D43"/>
    <w:rsid w:val="00C256D2"/>
    <w:rsid w:val="00C26023"/>
    <w:rsid w:val="00C26527"/>
    <w:rsid w:val="00C304BD"/>
    <w:rsid w:val="00C30C4C"/>
    <w:rsid w:val="00C3183F"/>
    <w:rsid w:val="00C31840"/>
    <w:rsid w:val="00C323D0"/>
    <w:rsid w:val="00C32644"/>
    <w:rsid w:val="00C33226"/>
    <w:rsid w:val="00C332E2"/>
    <w:rsid w:val="00C337AD"/>
    <w:rsid w:val="00C34C76"/>
    <w:rsid w:val="00C34F02"/>
    <w:rsid w:val="00C354E8"/>
    <w:rsid w:val="00C356F4"/>
    <w:rsid w:val="00C36597"/>
    <w:rsid w:val="00C400FC"/>
    <w:rsid w:val="00C40B13"/>
    <w:rsid w:val="00C4187F"/>
    <w:rsid w:val="00C4254B"/>
    <w:rsid w:val="00C42D5B"/>
    <w:rsid w:val="00C435A5"/>
    <w:rsid w:val="00C43953"/>
    <w:rsid w:val="00C442BE"/>
    <w:rsid w:val="00C44C26"/>
    <w:rsid w:val="00C44CBF"/>
    <w:rsid w:val="00C44E82"/>
    <w:rsid w:val="00C45343"/>
    <w:rsid w:val="00C45E20"/>
    <w:rsid w:val="00C46180"/>
    <w:rsid w:val="00C462CF"/>
    <w:rsid w:val="00C47090"/>
    <w:rsid w:val="00C50313"/>
    <w:rsid w:val="00C50436"/>
    <w:rsid w:val="00C5153D"/>
    <w:rsid w:val="00C5244D"/>
    <w:rsid w:val="00C525F8"/>
    <w:rsid w:val="00C53290"/>
    <w:rsid w:val="00C53E52"/>
    <w:rsid w:val="00C55B11"/>
    <w:rsid w:val="00C56796"/>
    <w:rsid w:val="00C5720E"/>
    <w:rsid w:val="00C60014"/>
    <w:rsid w:val="00C627D1"/>
    <w:rsid w:val="00C630EC"/>
    <w:rsid w:val="00C6325C"/>
    <w:rsid w:val="00C64451"/>
    <w:rsid w:val="00C64EB1"/>
    <w:rsid w:val="00C66FD2"/>
    <w:rsid w:val="00C6719A"/>
    <w:rsid w:val="00C671D9"/>
    <w:rsid w:val="00C67C0C"/>
    <w:rsid w:val="00C72EA1"/>
    <w:rsid w:val="00C7344D"/>
    <w:rsid w:val="00C740EA"/>
    <w:rsid w:val="00C74465"/>
    <w:rsid w:val="00C747BC"/>
    <w:rsid w:val="00C74B3A"/>
    <w:rsid w:val="00C756EA"/>
    <w:rsid w:val="00C814D1"/>
    <w:rsid w:val="00C814DE"/>
    <w:rsid w:val="00C8281B"/>
    <w:rsid w:val="00C83AFF"/>
    <w:rsid w:val="00C842E3"/>
    <w:rsid w:val="00C84448"/>
    <w:rsid w:val="00C84915"/>
    <w:rsid w:val="00C86647"/>
    <w:rsid w:val="00C8717B"/>
    <w:rsid w:val="00C87B0D"/>
    <w:rsid w:val="00C87D11"/>
    <w:rsid w:val="00C87F84"/>
    <w:rsid w:val="00C90A7B"/>
    <w:rsid w:val="00C90F5D"/>
    <w:rsid w:val="00C91114"/>
    <w:rsid w:val="00C91169"/>
    <w:rsid w:val="00C911C6"/>
    <w:rsid w:val="00C91967"/>
    <w:rsid w:val="00C91F45"/>
    <w:rsid w:val="00C92E28"/>
    <w:rsid w:val="00C92E93"/>
    <w:rsid w:val="00C932B5"/>
    <w:rsid w:val="00C93BE4"/>
    <w:rsid w:val="00C948F3"/>
    <w:rsid w:val="00C959A2"/>
    <w:rsid w:val="00C962E3"/>
    <w:rsid w:val="00C96708"/>
    <w:rsid w:val="00C974A5"/>
    <w:rsid w:val="00C97966"/>
    <w:rsid w:val="00CA0D8C"/>
    <w:rsid w:val="00CA1336"/>
    <w:rsid w:val="00CA22B1"/>
    <w:rsid w:val="00CA2B1D"/>
    <w:rsid w:val="00CA2E3E"/>
    <w:rsid w:val="00CA358A"/>
    <w:rsid w:val="00CA3A64"/>
    <w:rsid w:val="00CA4134"/>
    <w:rsid w:val="00CA4356"/>
    <w:rsid w:val="00CA4A7D"/>
    <w:rsid w:val="00CA57D5"/>
    <w:rsid w:val="00CA5AE1"/>
    <w:rsid w:val="00CA5D6C"/>
    <w:rsid w:val="00CA5E4E"/>
    <w:rsid w:val="00CB1070"/>
    <w:rsid w:val="00CB1CCB"/>
    <w:rsid w:val="00CB1EBF"/>
    <w:rsid w:val="00CB23C2"/>
    <w:rsid w:val="00CB2AF3"/>
    <w:rsid w:val="00CB313F"/>
    <w:rsid w:val="00CB35FB"/>
    <w:rsid w:val="00CB3AAB"/>
    <w:rsid w:val="00CB464F"/>
    <w:rsid w:val="00CB5006"/>
    <w:rsid w:val="00CB5F61"/>
    <w:rsid w:val="00CC06D6"/>
    <w:rsid w:val="00CC0B10"/>
    <w:rsid w:val="00CC205A"/>
    <w:rsid w:val="00CC2D37"/>
    <w:rsid w:val="00CC2D9F"/>
    <w:rsid w:val="00CC31E3"/>
    <w:rsid w:val="00CC3D76"/>
    <w:rsid w:val="00CC3E44"/>
    <w:rsid w:val="00CC3E7A"/>
    <w:rsid w:val="00CC3F4E"/>
    <w:rsid w:val="00CC421D"/>
    <w:rsid w:val="00CC476B"/>
    <w:rsid w:val="00CC4C94"/>
    <w:rsid w:val="00CC5128"/>
    <w:rsid w:val="00CC5E24"/>
    <w:rsid w:val="00CC6594"/>
    <w:rsid w:val="00CC6D3E"/>
    <w:rsid w:val="00CC7177"/>
    <w:rsid w:val="00CC734C"/>
    <w:rsid w:val="00CD0444"/>
    <w:rsid w:val="00CD085F"/>
    <w:rsid w:val="00CD2E22"/>
    <w:rsid w:val="00CD45B9"/>
    <w:rsid w:val="00CD5043"/>
    <w:rsid w:val="00CD526D"/>
    <w:rsid w:val="00CD642E"/>
    <w:rsid w:val="00CD7857"/>
    <w:rsid w:val="00CE0BCE"/>
    <w:rsid w:val="00CE0CB4"/>
    <w:rsid w:val="00CE16DE"/>
    <w:rsid w:val="00CE2BC9"/>
    <w:rsid w:val="00CE2FD2"/>
    <w:rsid w:val="00CE3098"/>
    <w:rsid w:val="00CE35A0"/>
    <w:rsid w:val="00CE483F"/>
    <w:rsid w:val="00CE599D"/>
    <w:rsid w:val="00CE71C7"/>
    <w:rsid w:val="00CF1EED"/>
    <w:rsid w:val="00CF2DE5"/>
    <w:rsid w:val="00CF388E"/>
    <w:rsid w:val="00CF41CA"/>
    <w:rsid w:val="00CF4489"/>
    <w:rsid w:val="00CF4A46"/>
    <w:rsid w:val="00CF4E0C"/>
    <w:rsid w:val="00CF69CF"/>
    <w:rsid w:val="00CF7969"/>
    <w:rsid w:val="00D00739"/>
    <w:rsid w:val="00D00C24"/>
    <w:rsid w:val="00D0188F"/>
    <w:rsid w:val="00D01C5B"/>
    <w:rsid w:val="00D02096"/>
    <w:rsid w:val="00D037F0"/>
    <w:rsid w:val="00D040D7"/>
    <w:rsid w:val="00D04696"/>
    <w:rsid w:val="00D04BDC"/>
    <w:rsid w:val="00D04CFE"/>
    <w:rsid w:val="00D05166"/>
    <w:rsid w:val="00D05362"/>
    <w:rsid w:val="00D053A2"/>
    <w:rsid w:val="00D05FAA"/>
    <w:rsid w:val="00D065F7"/>
    <w:rsid w:val="00D072DD"/>
    <w:rsid w:val="00D12AD7"/>
    <w:rsid w:val="00D14B5E"/>
    <w:rsid w:val="00D15D15"/>
    <w:rsid w:val="00D15D48"/>
    <w:rsid w:val="00D15E2D"/>
    <w:rsid w:val="00D160E9"/>
    <w:rsid w:val="00D1620D"/>
    <w:rsid w:val="00D1656A"/>
    <w:rsid w:val="00D16628"/>
    <w:rsid w:val="00D169B9"/>
    <w:rsid w:val="00D169FE"/>
    <w:rsid w:val="00D170C5"/>
    <w:rsid w:val="00D17490"/>
    <w:rsid w:val="00D17965"/>
    <w:rsid w:val="00D20574"/>
    <w:rsid w:val="00D20D9F"/>
    <w:rsid w:val="00D21EDF"/>
    <w:rsid w:val="00D2216D"/>
    <w:rsid w:val="00D236D1"/>
    <w:rsid w:val="00D23CBD"/>
    <w:rsid w:val="00D24D51"/>
    <w:rsid w:val="00D24F71"/>
    <w:rsid w:val="00D25152"/>
    <w:rsid w:val="00D25398"/>
    <w:rsid w:val="00D2592E"/>
    <w:rsid w:val="00D25CB0"/>
    <w:rsid w:val="00D26109"/>
    <w:rsid w:val="00D300E1"/>
    <w:rsid w:val="00D3076E"/>
    <w:rsid w:val="00D30AD5"/>
    <w:rsid w:val="00D312A3"/>
    <w:rsid w:val="00D3335E"/>
    <w:rsid w:val="00D33C34"/>
    <w:rsid w:val="00D3505D"/>
    <w:rsid w:val="00D35F52"/>
    <w:rsid w:val="00D40537"/>
    <w:rsid w:val="00D43F51"/>
    <w:rsid w:val="00D44331"/>
    <w:rsid w:val="00D44B6F"/>
    <w:rsid w:val="00D44C53"/>
    <w:rsid w:val="00D45462"/>
    <w:rsid w:val="00D455A7"/>
    <w:rsid w:val="00D4684A"/>
    <w:rsid w:val="00D46F64"/>
    <w:rsid w:val="00D47DD2"/>
    <w:rsid w:val="00D50293"/>
    <w:rsid w:val="00D5125C"/>
    <w:rsid w:val="00D529F9"/>
    <w:rsid w:val="00D52BBB"/>
    <w:rsid w:val="00D5406C"/>
    <w:rsid w:val="00D54F1B"/>
    <w:rsid w:val="00D551FA"/>
    <w:rsid w:val="00D5597A"/>
    <w:rsid w:val="00D56040"/>
    <w:rsid w:val="00D60183"/>
    <w:rsid w:val="00D60326"/>
    <w:rsid w:val="00D61E97"/>
    <w:rsid w:val="00D62495"/>
    <w:rsid w:val="00D62B75"/>
    <w:rsid w:val="00D62BFF"/>
    <w:rsid w:val="00D630A4"/>
    <w:rsid w:val="00D63505"/>
    <w:rsid w:val="00D636FC"/>
    <w:rsid w:val="00D63AA9"/>
    <w:rsid w:val="00D63D21"/>
    <w:rsid w:val="00D659C4"/>
    <w:rsid w:val="00D66F81"/>
    <w:rsid w:val="00D66FEF"/>
    <w:rsid w:val="00D67391"/>
    <w:rsid w:val="00D67CC0"/>
    <w:rsid w:val="00D70375"/>
    <w:rsid w:val="00D72857"/>
    <w:rsid w:val="00D72867"/>
    <w:rsid w:val="00D73310"/>
    <w:rsid w:val="00D73593"/>
    <w:rsid w:val="00D73773"/>
    <w:rsid w:val="00D75CAE"/>
    <w:rsid w:val="00D76C96"/>
    <w:rsid w:val="00D77713"/>
    <w:rsid w:val="00D80F60"/>
    <w:rsid w:val="00D812C7"/>
    <w:rsid w:val="00D83D69"/>
    <w:rsid w:val="00D84978"/>
    <w:rsid w:val="00D85A77"/>
    <w:rsid w:val="00D85C9E"/>
    <w:rsid w:val="00D86260"/>
    <w:rsid w:val="00D86579"/>
    <w:rsid w:val="00D86B4A"/>
    <w:rsid w:val="00D8724C"/>
    <w:rsid w:val="00D900B4"/>
    <w:rsid w:val="00D90258"/>
    <w:rsid w:val="00D90516"/>
    <w:rsid w:val="00D905E2"/>
    <w:rsid w:val="00D90EBC"/>
    <w:rsid w:val="00D92165"/>
    <w:rsid w:val="00D9262D"/>
    <w:rsid w:val="00D92AED"/>
    <w:rsid w:val="00D92D2A"/>
    <w:rsid w:val="00D93A2C"/>
    <w:rsid w:val="00D94A13"/>
    <w:rsid w:val="00D9566F"/>
    <w:rsid w:val="00D95913"/>
    <w:rsid w:val="00D95C30"/>
    <w:rsid w:val="00D95EE5"/>
    <w:rsid w:val="00D96470"/>
    <w:rsid w:val="00D96A67"/>
    <w:rsid w:val="00D97617"/>
    <w:rsid w:val="00DA043D"/>
    <w:rsid w:val="00DA365B"/>
    <w:rsid w:val="00DA3948"/>
    <w:rsid w:val="00DA4629"/>
    <w:rsid w:val="00DA47ED"/>
    <w:rsid w:val="00DA4F1E"/>
    <w:rsid w:val="00DA597E"/>
    <w:rsid w:val="00DA6B4D"/>
    <w:rsid w:val="00DA6F1E"/>
    <w:rsid w:val="00DA73D5"/>
    <w:rsid w:val="00DB107E"/>
    <w:rsid w:val="00DB197C"/>
    <w:rsid w:val="00DB1E63"/>
    <w:rsid w:val="00DB20EB"/>
    <w:rsid w:val="00DB225D"/>
    <w:rsid w:val="00DB26AE"/>
    <w:rsid w:val="00DB3621"/>
    <w:rsid w:val="00DB3867"/>
    <w:rsid w:val="00DB59EA"/>
    <w:rsid w:val="00DB68D9"/>
    <w:rsid w:val="00DB692D"/>
    <w:rsid w:val="00DB775A"/>
    <w:rsid w:val="00DC070D"/>
    <w:rsid w:val="00DC1706"/>
    <w:rsid w:val="00DC352B"/>
    <w:rsid w:val="00DC391F"/>
    <w:rsid w:val="00DC3AA0"/>
    <w:rsid w:val="00DC3E7A"/>
    <w:rsid w:val="00DC46D9"/>
    <w:rsid w:val="00DC5CBB"/>
    <w:rsid w:val="00DC6FAB"/>
    <w:rsid w:val="00DC7429"/>
    <w:rsid w:val="00DD0F03"/>
    <w:rsid w:val="00DD1260"/>
    <w:rsid w:val="00DD16F3"/>
    <w:rsid w:val="00DD1FBB"/>
    <w:rsid w:val="00DD2530"/>
    <w:rsid w:val="00DD3B53"/>
    <w:rsid w:val="00DD4400"/>
    <w:rsid w:val="00DD461A"/>
    <w:rsid w:val="00DD5BC5"/>
    <w:rsid w:val="00DD5E11"/>
    <w:rsid w:val="00DD61E6"/>
    <w:rsid w:val="00DD664B"/>
    <w:rsid w:val="00DD6CA1"/>
    <w:rsid w:val="00DD7C32"/>
    <w:rsid w:val="00DE06E0"/>
    <w:rsid w:val="00DE29DE"/>
    <w:rsid w:val="00DE2F13"/>
    <w:rsid w:val="00DE326C"/>
    <w:rsid w:val="00DE3FB6"/>
    <w:rsid w:val="00DE531D"/>
    <w:rsid w:val="00DE53EA"/>
    <w:rsid w:val="00DE56B8"/>
    <w:rsid w:val="00DE58E8"/>
    <w:rsid w:val="00DE5A32"/>
    <w:rsid w:val="00DE66E1"/>
    <w:rsid w:val="00DE67D2"/>
    <w:rsid w:val="00DE75F7"/>
    <w:rsid w:val="00DE7E5A"/>
    <w:rsid w:val="00DF0938"/>
    <w:rsid w:val="00DF16D8"/>
    <w:rsid w:val="00DF174E"/>
    <w:rsid w:val="00DF2AB9"/>
    <w:rsid w:val="00DF33B7"/>
    <w:rsid w:val="00DF4917"/>
    <w:rsid w:val="00DF4E3D"/>
    <w:rsid w:val="00DF57FE"/>
    <w:rsid w:val="00DF627D"/>
    <w:rsid w:val="00DF67FD"/>
    <w:rsid w:val="00E009C8"/>
    <w:rsid w:val="00E0128C"/>
    <w:rsid w:val="00E019BD"/>
    <w:rsid w:val="00E021C4"/>
    <w:rsid w:val="00E0374B"/>
    <w:rsid w:val="00E0383E"/>
    <w:rsid w:val="00E042B6"/>
    <w:rsid w:val="00E05762"/>
    <w:rsid w:val="00E06064"/>
    <w:rsid w:val="00E06BE8"/>
    <w:rsid w:val="00E06FB2"/>
    <w:rsid w:val="00E10440"/>
    <w:rsid w:val="00E120EB"/>
    <w:rsid w:val="00E1234F"/>
    <w:rsid w:val="00E136CA"/>
    <w:rsid w:val="00E137BA"/>
    <w:rsid w:val="00E13C18"/>
    <w:rsid w:val="00E15183"/>
    <w:rsid w:val="00E155EB"/>
    <w:rsid w:val="00E15E85"/>
    <w:rsid w:val="00E1728F"/>
    <w:rsid w:val="00E17399"/>
    <w:rsid w:val="00E2195E"/>
    <w:rsid w:val="00E21BB0"/>
    <w:rsid w:val="00E26325"/>
    <w:rsid w:val="00E27713"/>
    <w:rsid w:val="00E27D27"/>
    <w:rsid w:val="00E31CBC"/>
    <w:rsid w:val="00E31E10"/>
    <w:rsid w:val="00E322A1"/>
    <w:rsid w:val="00E324FC"/>
    <w:rsid w:val="00E34659"/>
    <w:rsid w:val="00E36C02"/>
    <w:rsid w:val="00E3756F"/>
    <w:rsid w:val="00E378EC"/>
    <w:rsid w:val="00E37AF1"/>
    <w:rsid w:val="00E401FB"/>
    <w:rsid w:val="00E4039B"/>
    <w:rsid w:val="00E404A0"/>
    <w:rsid w:val="00E40AEA"/>
    <w:rsid w:val="00E40E61"/>
    <w:rsid w:val="00E40F61"/>
    <w:rsid w:val="00E42A5D"/>
    <w:rsid w:val="00E431CD"/>
    <w:rsid w:val="00E43280"/>
    <w:rsid w:val="00E455FF"/>
    <w:rsid w:val="00E46048"/>
    <w:rsid w:val="00E4664E"/>
    <w:rsid w:val="00E46FE1"/>
    <w:rsid w:val="00E47C91"/>
    <w:rsid w:val="00E47E75"/>
    <w:rsid w:val="00E502BA"/>
    <w:rsid w:val="00E50965"/>
    <w:rsid w:val="00E526EF"/>
    <w:rsid w:val="00E529B8"/>
    <w:rsid w:val="00E5426E"/>
    <w:rsid w:val="00E564E2"/>
    <w:rsid w:val="00E5766C"/>
    <w:rsid w:val="00E60408"/>
    <w:rsid w:val="00E6040D"/>
    <w:rsid w:val="00E60849"/>
    <w:rsid w:val="00E60989"/>
    <w:rsid w:val="00E60A10"/>
    <w:rsid w:val="00E611BD"/>
    <w:rsid w:val="00E61F03"/>
    <w:rsid w:val="00E62BDF"/>
    <w:rsid w:val="00E65D4D"/>
    <w:rsid w:val="00E65E29"/>
    <w:rsid w:val="00E669D7"/>
    <w:rsid w:val="00E66A2A"/>
    <w:rsid w:val="00E67774"/>
    <w:rsid w:val="00E715A5"/>
    <w:rsid w:val="00E71B74"/>
    <w:rsid w:val="00E72223"/>
    <w:rsid w:val="00E72FF2"/>
    <w:rsid w:val="00E7492F"/>
    <w:rsid w:val="00E75C09"/>
    <w:rsid w:val="00E76239"/>
    <w:rsid w:val="00E76A82"/>
    <w:rsid w:val="00E76FC8"/>
    <w:rsid w:val="00E77151"/>
    <w:rsid w:val="00E77C12"/>
    <w:rsid w:val="00E81070"/>
    <w:rsid w:val="00E8187C"/>
    <w:rsid w:val="00E81CF5"/>
    <w:rsid w:val="00E82032"/>
    <w:rsid w:val="00E8318E"/>
    <w:rsid w:val="00E847E9"/>
    <w:rsid w:val="00E85DED"/>
    <w:rsid w:val="00E86EB7"/>
    <w:rsid w:val="00E86F67"/>
    <w:rsid w:val="00E87399"/>
    <w:rsid w:val="00E87F66"/>
    <w:rsid w:val="00E915EA"/>
    <w:rsid w:val="00E92AC1"/>
    <w:rsid w:val="00E92B3E"/>
    <w:rsid w:val="00E92F22"/>
    <w:rsid w:val="00E93C3A"/>
    <w:rsid w:val="00E940BA"/>
    <w:rsid w:val="00E953E4"/>
    <w:rsid w:val="00E95586"/>
    <w:rsid w:val="00E95653"/>
    <w:rsid w:val="00E95DAC"/>
    <w:rsid w:val="00E95E02"/>
    <w:rsid w:val="00E96E23"/>
    <w:rsid w:val="00E97718"/>
    <w:rsid w:val="00EA0430"/>
    <w:rsid w:val="00EA0628"/>
    <w:rsid w:val="00EA09DC"/>
    <w:rsid w:val="00EA2DDF"/>
    <w:rsid w:val="00EA4EAA"/>
    <w:rsid w:val="00EA503F"/>
    <w:rsid w:val="00EA5455"/>
    <w:rsid w:val="00EA594E"/>
    <w:rsid w:val="00EA62AD"/>
    <w:rsid w:val="00EA6687"/>
    <w:rsid w:val="00EA7DC6"/>
    <w:rsid w:val="00EB0C2D"/>
    <w:rsid w:val="00EB0E86"/>
    <w:rsid w:val="00EB1143"/>
    <w:rsid w:val="00EB433A"/>
    <w:rsid w:val="00EB5B0B"/>
    <w:rsid w:val="00EB639B"/>
    <w:rsid w:val="00EB65D8"/>
    <w:rsid w:val="00EB7F29"/>
    <w:rsid w:val="00EC0D78"/>
    <w:rsid w:val="00EC0F70"/>
    <w:rsid w:val="00EC12BB"/>
    <w:rsid w:val="00EC19DB"/>
    <w:rsid w:val="00EC1CBE"/>
    <w:rsid w:val="00EC1F06"/>
    <w:rsid w:val="00EC22EA"/>
    <w:rsid w:val="00EC27D3"/>
    <w:rsid w:val="00EC3EAC"/>
    <w:rsid w:val="00EC41B4"/>
    <w:rsid w:val="00ED0041"/>
    <w:rsid w:val="00ED2243"/>
    <w:rsid w:val="00ED373B"/>
    <w:rsid w:val="00ED5EE0"/>
    <w:rsid w:val="00ED5FB6"/>
    <w:rsid w:val="00ED627E"/>
    <w:rsid w:val="00ED6B8E"/>
    <w:rsid w:val="00ED6F45"/>
    <w:rsid w:val="00ED700C"/>
    <w:rsid w:val="00ED7312"/>
    <w:rsid w:val="00EE057A"/>
    <w:rsid w:val="00EE097A"/>
    <w:rsid w:val="00EE0A8A"/>
    <w:rsid w:val="00EE16BE"/>
    <w:rsid w:val="00EE26FB"/>
    <w:rsid w:val="00EE2A6E"/>
    <w:rsid w:val="00EE2B3B"/>
    <w:rsid w:val="00EE46F1"/>
    <w:rsid w:val="00EE4D8D"/>
    <w:rsid w:val="00EE5233"/>
    <w:rsid w:val="00EE53D9"/>
    <w:rsid w:val="00EE6B67"/>
    <w:rsid w:val="00EE7013"/>
    <w:rsid w:val="00EF006B"/>
    <w:rsid w:val="00EF0E16"/>
    <w:rsid w:val="00EF126D"/>
    <w:rsid w:val="00EF46B5"/>
    <w:rsid w:val="00EF5488"/>
    <w:rsid w:val="00EF5F5E"/>
    <w:rsid w:val="00EF67EF"/>
    <w:rsid w:val="00F0014C"/>
    <w:rsid w:val="00F01110"/>
    <w:rsid w:val="00F018CA"/>
    <w:rsid w:val="00F0260B"/>
    <w:rsid w:val="00F02BB6"/>
    <w:rsid w:val="00F03DB5"/>
    <w:rsid w:val="00F04122"/>
    <w:rsid w:val="00F046A7"/>
    <w:rsid w:val="00F05AA6"/>
    <w:rsid w:val="00F0687B"/>
    <w:rsid w:val="00F06C75"/>
    <w:rsid w:val="00F078CB"/>
    <w:rsid w:val="00F0799E"/>
    <w:rsid w:val="00F10DCE"/>
    <w:rsid w:val="00F11452"/>
    <w:rsid w:val="00F12CB0"/>
    <w:rsid w:val="00F133DC"/>
    <w:rsid w:val="00F13407"/>
    <w:rsid w:val="00F136C4"/>
    <w:rsid w:val="00F14198"/>
    <w:rsid w:val="00F143B1"/>
    <w:rsid w:val="00F14752"/>
    <w:rsid w:val="00F14BDB"/>
    <w:rsid w:val="00F15064"/>
    <w:rsid w:val="00F166BD"/>
    <w:rsid w:val="00F17DA9"/>
    <w:rsid w:val="00F20543"/>
    <w:rsid w:val="00F2149D"/>
    <w:rsid w:val="00F214DC"/>
    <w:rsid w:val="00F21581"/>
    <w:rsid w:val="00F215A3"/>
    <w:rsid w:val="00F22232"/>
    <w:rsid w:val="00F2247F"/>
    <w:rsid w:val="00F23326"/>
    <w:rsid w:val="00F2390E"/>
    <w:rsid w:val="00F23A33"/>
    <w:rsid w:val="00F23CE1"/>
    <w:rsid w:val="00F23EE3"/>
    <w:rsid w:val="00F2511A"/>
    <w:rsid w:val="00F26546"/>
    <w:rsid w:val="00F265C9"/>
    <w:rsid w:val="00F27236"/>
    <w:rsid w:val="00F30B63"/>
    <w:rsid w:val="00F31FF3"/>
    <w:rsid w:val="00F339A8"/>
    <w:rsid w:val="00F33AAE"/>
    <w:rsid w:val="00F34D4A"/>
    <w:rsid w:val="00F36236"/>
    <w:rsid w:val="00F36655"/>
    <w:rsid w:val="00F403D9"/>
    <w:rsid w:val="00F42AA3"/>
    <w:rsid w:val="00F43C3B"/>
    <w:rsid w:val="00F4494B"/>
    <w:rsid w:val="00F44C17"/>
    <w:rsid w:val="00F4606A"/>
    <w:rsid w:val="00F46ADD"/>
    <w:rsid w:val="00F4734F"/>
    <w:rsid w:val="00F47E69"/>
    <w:rsid w:val="00F5030D"/>
    <w:rsid w:val="00F50BE1"/>
    <w:rsid w:val="00F51767"/>
    <w:rsid w:val="00F51ACB"/>
    <w:rsid w:val="00F51CA2"/>
    <w:rsid w:val="00F52150"/>
    <w:rsid w:val="00F55734"/>
    <w:rsid w:val="00F55814"/>
    <w:rsid w:val="00F55908"/>
    <w:rsid w:val="00F56615"/>
    <w:rsid w:val="00F5674A"/>
    <w:rsid w:val="00F568CC"/>
    <w:rsid w:val="00F56A7C"/>
    <w:rsid w:val="00F56D6F"/>
    <w:rsid w:val="00F57145"/>
    <w:rsid w:val="00F57291"/>
    <w:rsid w:val="00F615F2"/>
    <w:rsid w:val="00F61CC5"/>
    <w:rsid w:val="00F6298B"/>
    <w:rsid w:val="00F62998"/>
    <w:rsid w:val="00F634C5"/>
    <w:rsid w:val="00F647BF"/>
    <w:rsid w:val="00F64ECB"/>
    <w:rsid w:val="00F653AA"/>
    <w:rsid w:val="00F65528"/>
    <w:rsid w:val="00F6586A"/>
    <w:rsid w:val="00F6593B"/>
    <w:rsid w:val="00F66D68"/>
    <w:rsid w:val="00F66F7C"/>
    <w:rsid w:val="00F66FFA"/>
    <w:rsid w:val="00F6715D"/>
    <w:rsid w:val="00F6740B"/>
    <w:rsid w:val="00F67AA0"/>
    <w:rsid w:val="00F67B3B"/>
    <w:rsid w:val="00F7055B"/>
    <w:rsid w:val="00F710F6"/>
    <w:rsid w:val="00F711C6"/>
    <w:rsid w:val="00F718A6"/>
    <w:rsid w:val="00F72162"/>
    <w:rsid w:val="00F72211"/>
    <w:rsid w:val="00F73824"/>
    <w:rsid w:val="00F7390F"/>
    <w:rsid w:val="00F74230"/>
    <w:rsid w:val="00F74A1B"/>
    <w:rsid w:val="00F75672"/>
    <w:rsid w:val="00F75EF9"/>
    <w:rsid w:val="00F765FA"/>
    <w:rsid w:val="00F77D30"/>
    <w:rsid w:val="00F77D81"/>
    <w:rsid w:val="00F80FBF"/>
    <w:rsid w:val="00F82098"/>
    <w:rsid w:val="00F8262E"/>
    <w:rsid w:val="00F82BE6"/>
    <w:rsid w:val="00F82D3E"/>
    <w:rsid w:val="00F82DA9"/>
    <w:rsid w:val="00F83234"/>
    <w:rsid w:val="00F84605"/>
    <w:rsid w:val="00F85590"/>
    <w:rsid w:val="00F87988"/>
    <w:rsid w:val="00F9030A"/>
    <w:rsid w:val="00F904D4"/>
    <w:rsid w:val="00F91939"/>
    <w:rsid w:val="00F93081"/>
    <w:rsid w:val="00F9347C"/>
    <w:rsid w:val="00F939F9"/>
    <w:rsid w:val="00F93B59"/>
    <w:rsid w:val="00F94075"/>
    <w:rsid w:val="00F94F36"/>
    <w:rsid w:val="00F95731"/>
    <w:rsid w:val="00F967F2"/>
    <w:rsid w:val="00F96860"/>
    <w:rsid w:val="00F97122"/>
    <w:rsid w:val="00F973CC"/>
    <w:rsid w:val="00F97445"/>
    <w:rsid w:val="00F97457"/>
    <w:rsid w:val="00F9770B"/>
    <w:rsid w:val="00F97746"/>
    <w:rsid w:val="00F97D5E"/>
    <w:rsid w:val="00FA011B"/>
    <w:rsid w:val="00FA0C86"/>
    <w:rsid w:val="00FA0F2A"/>
    <w:rsid w:val="00FA1783"/>
    <w:rsid w:val="00FA1E17"/>
    <w:rsid w:val="00FA395F"/>
    <w:rsid w:val="00FA3BA6"/>
    <w:rsid w:val="00FA3E43"/>
    <w:rsid w:val="00FA546A"/>
    <w:rsid w:val="00FA5531"/>
    <w:rsid w:val="00FA6054"/>
    <w:rsid w:val="00FA6629"/>
    <w:rsid w:val="00FA6B56"/>
    <w:rsid w:val="00FA74E9"/>
    <w:rsid w:val="00FB1912"/>
    <w:rsid w:val="00FB3E27"/>
    <w:rsid w:val="00FB432A"/>
    <w:rsid w:val="00FB4F52"/>
    <w:rsid w:val="00FB52A2"/>
    <w:rsid w:val="00FB5C48"/>
    <w:rsid w:val="00FB653A"/>
    <w:rsid w:val="00FB732E"/>
    <w:rsid w:val="00FC0667"/>
    <w:rsid w:val="00FC0F00"/>
    <w:rsid w:val="00FC116B"/>
    <w:rsid w:val="00FC132D"/>
    <w:rsid w:val="00FC1E3B"/>
    <w:rsid w:val="00FC3A33"/>
    <w:rsid w:val="00FC455D"/>
    <w:rsid w:val="00FC5E27"/>
    <w:rsid w:val="00FC61D9"/>
    <w:rsid w:val="00FC62D5"/>
    <w:rsid w:val="00FC6522"/>
    <w:rsid w:val="00FC6F68"/>
    <w:rsid w:val="00FC7ED4"/>
    <w:rsid w:val="00FD0D77"/>
    <w:rsid w:val="00FD1265"/>
    <w:rsid w:val="00FD1528"/>
    <w:rsid w:val="00FD2D62"/>
    <w:rsid w:val="00FD38D7"/>
    <w:rsid w:val="00FD3A10"/>
    <w:rsid w:val="00FD4168"/>
    <w:rsid w:val="00FD42B8"/>
    <w:rsid w:val="00FD4612"/>
    <w:rsid w:val="00FD464B"/>
    <w:rsid w:val="00FD5811"/>
    <w:rsid w:val="00FD6548"/>
    <w:rsid w:val="00FD68A5"/>
    <w:rsid w:val="00FD731F"/>
    <w:rsid w:val="00FE0208"/>
    <w:rsid w:val="00FE05B4"/>
    <w:rsid w:val="00FE19B1"/>
    <w:rsid w:val="00FE2104"/>
    <w:rsid w:val="00FE23B7"/>
    <w:rsid w:val="00FE2A18"/>
    <w:rsid w:val="00FE2E89"/>
    <w:rsid w:val="00FE2F23"/>
    <w:rsid w:val="00FE307A"/>
    <w:rsid w:val="00FE3BBF"/>
    <w:rsid w:val="00FE478F"/>
    <w:rsid w:val="00FE5693"/>
    <w:rsid w:val="00FE5C2C"/>
    <w:rsid w:val="00FE5E07"/>
    <w:rsid w:val="00FE77A5"/>
    <w:rsid w:val="00FF11C1"/>
    <w:rsid w:val="00FF1F5F"/>
    <w:rsid w:val="00FF24C7"/>
    <w:rsid w:val="00FF298C"/>
    <w:rsid w:val="00FF2A47"/>
    <w:rsid w:val="00FF2B79"/>
    <w:rsid w:val="00FF4EEB"/>
    <w:rsid w:val="00FF6579"/>
    <w:rsid w:val="00FF6AED"/>
    <w:rsid w:val="00FF6E47"/>
    <w:rsid w:val="00FF6F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D809F"/>
  <w15:chartTrackingRefBased/>
  <w15:docId w15:val="{05DE71DA-82E8-45C5-8FB5-8C829FCF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45"/>
  </w:style>
  <w:style w:type="paragraph" w:styleId="Footer">
    <w:name w:val="footer"/>
    <w:basedOn w:val="Normal"/>
    <w:link w:val="FooterChar"/>
    <w:uiPriority w:val="99"/>
    <w:unhideWhenUsed/>
    <w:rsid w:val="00AE1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45"/>
  </w:style>
  <w:style w:type="paragraph" w:styleId="ListParagraph">
    <w:name w:val="List Paragraph"/>
    <w:basedOn w:val="Normal"/>
    <w:uiPriority w:val="34"/>
    <w:qFormat/>
    <w:rsid w:val="006E62B7"/>
    <w:pPr>
      <w:ind w:left="720"/>
      <w:contextualSpacing/>
    </w:pPr>
  </w:style>
  <w:style w:type="paragraph" w:styleId="EndnoteText">
    <w:name w:val="endnote text"/>
    <w:basedOn w:val="Normal"/>
    <w:link w:val="EndnoteTextChar"/>
    <w:uiPriority w:val="99"/>
    <w:semiHidden/>
    <w:unhideWhenUsed/>
    <w:rsid w:val="00A428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2896"/>
    <w:rPr>
      <w:sz w:val="20"/>
      <w:szCs w:val="20"/>
    </w:rPr>
  </w:style>
  <w:style w:type="character" w:styleId="EndnoteReference">
    <w:name w:val="endnote reference"/>
    <w:basedOn w:val="DefaultParagraphFont"/>
    <w:uiPriority w:val="99"/>
    <w:semiHidden/>
    <w:unhideWhenUsed/>
    <w:rsid w:val="00A42896"/>
    <w:rPr>
      <w:vertAlign w:val="superscript"/>
    </w:rPr>
  </w:style>
  <w:style w:type="paragraph" w:styleId="FootnoteText">
    <w:name w:val="footnote text"/>
    <w:basedOn w:val="Normal"/>
    <w:link w:val="FootnoteTextChar"/>
    <w:uiPriority w:val="99"/>
    <w:semiHidden/>
    <w:unhideWhenUsed/>
    <w:rsid w:val="00A428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896"/>
    <w:rPr>
      <w:sz w:val="20"/>
      <w:szCs w:val="20"/>
    </w:rPr>
  </w:style>
  <w:style w:type="character" w:styleId="FootnoteReference">
    <w:name w:val="footnote reference"/>
    <w:basedOn w:val="DefaultParagraphFont"/>
    <w:uiPriority w:val="99"/>
    <w:semiHidden/>
    <w:unhideWhenUsed/>
    <w:rsid w:val="00A42896"/>
    <w:rPr>
      <w:vertAlign w:val="superscript"/>
    </w:rPr>
  </w:style>
  <w:style w:type="paragraph" w:customStyle="1" w:styleId="aparanumbering">
    <w:name w:val="aparanumbering"/>
    <w:basedOn w:val="Normal"/>
    <w:rsid w:val="00BB506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B141E0"/>
    <w:rPr>
      <w:i/>
      <w:iCs/>
    </w:rPr>
  </w:style>
  <w:style w:type="paragraph" w:customStyle="1" w:styleId="headingnumber">
    <w:name w:val="headingnumber"/>
    <w:basedOn w:val="Normal"/>
    <w:rsid w:val="003F714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3F7142"/>
    <w:rPr>
      <w:color w:val="0000FF"/>
      <w:u w:val="single"/>
    </w:rPr>
  </w:style>
  <w:style w:type="paragraph" w:customStyle="1" w:styleId="doubleindent-quote">
    <w:name w:val="doubleindent-quote"/>
    <w:basedOn w:val="Normal"/>
    <w:rsid w:val="003F714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pdf-viewer-word">
    <w:name w:val="pdf-viewer-word"/>
    <w:basedOn w:val="DefaultParagraphFont"/>
    <w:rsid w:val="0093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869887">
      <w:bodyDiv w:val="1"/>
      <w:marLeft w:val="0"/>
      <w:marRight w:val="0"/>
      <w:marTop w:val="0"/>
      <w:marBottom w:val="0"/>
      <w:divBdr>
        <w:top w:val="none" w:sz="0" w:space="0" w:color="auto"/>
        <w:left w:val="none" w:sz="0" w:space="0" w:color="auto"/>
        <w:bottom w:val="none" w:sz="0" w:space="0" w:color="auto"/>
        <w:right w:val="none" w:sz="0" w:space="0" w:color="auto"/>
      </w:divBdr>
      <w:divsChild>
        <w:div w:id="51354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on/onsc/doc/2001/2001canlii28213/2001canlii2821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nlii.org/en/on/onsc/doc/2001/2001canlii28213/2001canlii282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C5A1-AD18-4309-A03B-3C631D0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13122</Words>
  <Characters>74800</Characters>
  <Application>Microsoft Office Word</Application>
  <DocSecurity>4</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Hayes</dc:creator>
  <cp:keywords/>
  <dc:description/>
  <cp:lastModifiedBy>Lisa Hayes</cp:lastModifiedBy>
  <cp:revision>2</cp:revision>
  <cp:lastPrinted>2022-05-15T21:08:00Z</cp:lastPrinted>
  <dcterms:created xsi:type="dcterms:W3CDTF">2022-10-13T20:01:00Z</dcterms:created>
  <dcterms:modified xsi:type="dcterms:W3CDTF">2022-10-13T20:01:00Z</dcterms:modified>
</cp:coreProperties>
</file>